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4E" w:rsidRPr="0089780D" w:rsidRDefault="0089780D" w:rsidP="0089780D">
      <w:pPr>
        <w:pStyle w:val="NoSpacing"/>
        <w:rPr>
          <w:b/>
        </w:rPr>
      </w:pPr>
      <w:r w:rsidRPr="0089780D">
        <w:rPr>
          <w:b/>
        </w:rPr>
        <w:t xml:space="preserve">Delaware IDEA Part B Section 619 </w:t>
      </w:r>
    </w:p>
    <w:p w:rsidR="0089780D" w:rsidRDefault="0089780D" w:rsidP="0089780D">
      <w:pPr>
        <w:pStyle w:val="NoSpacing"/>
        <w:rPr>
          <w:b/>
        </w:rPr>
      </w:pPr>
      <w:r>
        <w:rPr>
          <w:b/>
        </w:rPr>
        <w:t>Race to the Top Early Learning Challenge Grant</w:t>
      </w:r>
    </w:p>
    <w:p w:rsidR="0089780D" w:rsidRDefault="0089780D" w:rsidP="0089780D">
      <w:pPr>
        <w:pStyle w:val="NoSpacing"/>
        <w:rPr>
          <w:b/>
        </w:rPr>
      </w:pPr>
      <w:r>
        <w:rPr>
          <w:b/>
        </w:rPr>
        <w:t>Tiered Quality Rating and Improvement Systems</w:t>
      </w:r>
    </w:p>
    <w:p w:rsidR="0089780D" w:rsidRDefault="0089780D" w:rsidP="0089780D">
      <w:pPr>
        <w:pStyle w:val="NoSpacing"/>
        <w:rPr>
          <w:b/>
        </w:rPr>
      </w:pPr>
    </w:p>
    <w:p w:rsidR="0089780D" w:rsidRDefault="0089780D" w:rsidP="0089780D">
      <w:pPr>
        <w:pStyle w:val="NoSpacing"/>
        <w:rPr>
          <w:b/>
        </w:rPr>
      </w:pPr>
      <w:r>
        <w:rPr>
          <w:b/>
        </w:rPr>
        <w:t>Background:</w:t>
      </w:r>
    </w:p>
    <w:p w:rsidR="0089780D" w:rsidRDefault="0089780D" w:rsidP="0089780D">
      <w:pPr>
        <w:pStyle w:val="NoSpacing"/>
        <w:numPr>
          <w:ilvl w:val="0"/>
          <w:numId w:val="1"/>
        </w:numPr>
      </w:pPr>
      <w:r>
        <w:t>Delaware Stars Quality rating and Improvement System for child care since 2005</w:t>
      </w:r>
    </w:p>
    <w:p w:rsidR="0089780D" w:rsidRDefault="0089780D" w:rsidP="0089780D">
      <w:pPr>
        <w:pStyle w:val="NoSpacing"/>
        <w:numPr>
          <w:ilvl w:val="0"/>
          <w:numId w:val="1"/>
        </w:numPr>
      </w:pPr>
      <w:r>
        <w:t>5 Star levels with Tiered Reimbursement for Child Care subsidy</w:t>
      </w:r>
    </w:p>
    <w:p w:rsidR="00AC398B" w:rsidRDefault="0089780D" w:rsidP="0089780D">
      <w:pPr>
        <w:pStyle w:val="NoSpacing"/>
        <w:numPr>
          <w:ilvl w:val="0"/>
          <w:numId w:val="1"/>
        </w:numPr>
      </w:pPr>
      <w:r>
        <w:t>Delaware Stars administered by University of Delaware In</w:t>
      </w:r>
      <w:r w:rsidR="00EA7AD3">
        <w:t xml:space="preserve">stitute for Excellence in Early </w:t>
      </w:r>
      <w:r>
        <w:t>Childhood</w:t>
      </w:r>
      <w:r w:rsidR="00AC398B">
        <w:t xml:space="preserve"> (DIEEC)</w:t>
      </w:r>
    </w:p>
    <w:p w:rsidR="00AC398B" w:rsidRDefault="00AC398B" w:rsidP="00AC398B">
      <w:pPr>
        <w:pStyle w:val="NoSpacing"/>
      </w:pPr>
    </w:p>
    <w:p w:rsidR="0089780D" w:rsidRDefault="00AC398B" w:rsidP="00AC398B">
      <w:pPr>
        <w:pStyle w:val="NoSpacing"/>
        <w:rPr>
          <w:b/>
        </w:rPr>
      </w:pPr>
      <w:r w:rsidRPr="00AC398B">
        <w:rPr>
          <w:b/>
        </w:rPr>
        <w:t xml:space="preserve">RTTT </w:t>
      </w:r>
      <w:r w:rsidR="00EA7AD3">
        <w:rPr>
          <w:b/>
        </w:rPr>
        <w:t>–</w:t>
      </w:r>
      <w:r w:rsidRPr="00AC398B">
        <w:rPr>
          <w:b/>
        </w:rPr>
        <w:t>ELC</w:t>
      </w:r>
      <w:r w:rsidR="0089780D" w:rsidRPr="00AC398B">
        <w:rPr>
          <w:b/>
        </w:rPr>
        <w:t xml:space="preserve"> </w:t>
      </w:r>
      <w:r>
        <w:rPr>
          <w:b/>
        </w:rPr>
        <w:t>Application</w:t>
      </w:r>
    </w:p>
    <w:p w:rsidR="00AC398B" w:rsidRPr="00AC398B" w:rsidRDefault="00AC398B" w:rsidP="00AC398B">
      <w:pPr>
        <w:pStyle w:val="NoSpacing"/>
        <w:numPr>
          <w:ilvl w:val="0"/>
          <w:numId w:val="2"/>
        </w:numPr>
        <w:rPr>
          <w:b/>
        </w:rPr>
      </w:pPr>
      <w:r>
        <w:t>DE’s application included goals developed by workgroups from early childhood programs:</w:t>
      </w:r>
    </w:p>
    <w:p w:rsidR="00AC398B" w:rsidRPr="00AC398B" w:rsidRDefault="00AC398B" w:rsidP="00AC398B">
      <w:pPr>
        <w:pStyle w:val="NoSpacing"/>
        <w:numPr>
          <w:ilvl w:val="1"/>
          <w:numId w:val="2"/>
        </w:numPr>
        <w:rPr>
          <w:b/>
        </w:rPr>
      </w:pPr>
      <w:r>
        <w:t>Child Care</w:t>
      </w:r>
    </w:p>
    <w:p w:rsidR="00AC398B" w:rsidRPr="00AC398B" w:rsidRDefault="00AC398B" w:rsidP="00AC398B">
      <w:pPr>
        <w:pStyle w:val="NoSpacing"/>
        <w:numPr>
          <w:ilvl w:val="1"/>
          <w:numId w:val="2"/>
        </w:numPr>
        <w:rPr>
          <w:b/>
        </w:rPr>
      </w:pPr>
      <w:r>
        <w:t>Head Start/Early Childhood Assistance Program (state funded Head Start)</w:t>
      </w:r>
    </w:p>
    <w:p w:rsidR="00AC398B" w:rsidRPr="00AC398B" w:rsidRDefault="00AC398B" w:rsidP="00AC398B">
      <w:pPr>
        <w:pStyle w:val="NoSpacing"/>
        <w:numPr>
          <w:ilvl w:val="1"/>
          <w:numId w:val="2"/>
        </w:numPr>
      </w:pPr>
      <w:r w:rsidRPr="00AC398B">
        <w:t>Part C</w:t>
      </w:r>
    </w:p>
    <w:p w:rsidR="00AC398B" w:rsidRPr="00AC398B" w:rsidRDefault="00AC398B" w:rsidP="00AC398B">
      <w:pPr>
        <w:pStyle w:val="NoSpacing"/>
        <w:numPr>
          <w:ilvl w:val="1"/>
          <w:numId w:val="2"/>
        </w:numPr>
        <w:rPr>
          <w:b/>
        </w:rPr>
      </w:pPr>
      <w:r>
        <w:t>Part B 619</w:t>
      </w:r>
    </w:p>
    <w:p w:rsidR="00AC398B" w:rsidRPr="00AC398B" w:rsidRDefault="00AC398B" w:rsidP="00AC398B">
      <w:pPr>
        <w:pStyle w:val="NoSpacing"/>
        <w:numPr>
          <w:ilvl w:val="1"/>
          <w:numId w:val="2"/>
        </w:numPr>
      </w:pPr>
      <w:r w:rsidRPr="00AC398B">
        <w:t>Home Visiting</w:t>
      </w:r>
    </w:p>
    <w:p w:rsidR="00AC398B" w:rsidRDefault="00AC398B" w:rsidP="00AC398B">
      <w:pPr>
        <w:pStyle w:val="NoSpacing"/>
        <w:numPr>
          <w:ilvl w:val="1"/>
          <w:numId w:val="2"/>
        </w:numPr>
      </w:pPr>
      <w:r w:rsidRPr="00AC398B">
        <w:t>Kindergarten</w:t>
      </w:r>
    </w:p>
    <w:p w:rsidR="00E666BE" w:rsidRDefault="00E666BE" w:rsidP="00AC398B">
      <w:pPr>
        <w:pStyle w:val="NoSpacing"/>
        <w:numPr>
          <w:ilvl w:val="0"/>
          <w:numId w:val="2"/>
        </w:numPr>
      </w:pPr>
      <w:r>
        <w:t>TQRIS – 49% of RTTT-ELC Funding</w:t>
      </w:r>
    </w:p>
    <w:p w:rsidR="00AC398B" w:rsidRDefault="00AC398B" w:rsidP="00AC398B">
      <w:pPr>
        <w:pStyle w:val="NoSpacing"/>
        <w:numPr>
          <w:ilvl w:val="0"/>
          <w:numId w:val="2"/>
        </w:numPr>
      </w:pPr>
      <w:r>
        <w:t xml:space="preserve">Targets for </w:t>
      </w:r>
      <w:r w:rsidR="00E666BE">
        <w:t xml:space="preserve">TQRIS involvement for </w:t>
      </w:r>
      <w:r>
        <w:t>programs and number of high risk children (Special needs, children in poverty, ELL)</w:t>
      </w:r>
    </w:p>
    <w:p w:rsidR="00AC398B" w:rsidRDefault="00AC398B" w:rsidP="00AC398B">
      <w:pPr>
        <w:pStyle w:val="NoSpacing"/>
        <w:numPr>
          <w:ilvl w:val="1"/>
          <w:numId w:val="2"/>
        </w:numPr>
      </w:pPr>
      <w:r>
        <w:t>Part B 619</w:t>
      </w:r>
    </w:p>
    <w:p w:rsidR="00AC398B" w:rsidRDefault="00AC398B" w:rsidP="00AC398B">
      <w:pPr>
        <w:pStyle w:val="NoSpacing"/>
        <w:numPr>
          <w:ilvl w:val="1"/>
          <w:numId w:val="2"/>
        </w:numPr>
      </w:pPr>
      <w:r>
        <w:t>Part C</w:t>
      </w:r>
    </w:p>
    <w:p w:rsidR="00AC398B" w:rsidRDefault="00AC398B" w:rsidP="00AC398B">
      <w:pPr>
        <w:pStyle w:val="NoSpacing"/>
        <w:numPr>
          <w:ilvl w:val="1"/>
          <w:numId w:val="2"/>
        </w:numPr>
      </w:pPr>
      <w:r>
        <w:t>Head Start/ECAP</w:t>
      </w:r>
    </w:p>
    <w:p w:rsidR="00AC398B" w:rsidRDefault="00AC398B" w:rsidP="00AC398B">
      <w:pPr>
        <w:pStyle w:val="NoSpacing"/>
        <w:numPr>
          <w:ilvl w:val="1"/>
          <w:numId w:val="2"/>
        </w:numPr>
      </w:pPr>
      <w:r>
        <w:t>Child care</w:t>
      </w:r>
    </w:p>
    <w:p w:rsidR="00AC398B" w:rsidRDefault="00AC398B" w:rsidP="00AC398B">
      <w:pPr>
        <w:pStyle w:val="NoSpacing"/>
      </w:pPr>
    </w:p>
    <w:p w:rsidR="00AC398B" w:rsidRDefault="00AC398B" w:rsidP="00AC398B">
      <w:pPr>
        <w:pStyle w:val="NoSpacing"/>
        <w:rPr>
          <w:b/>
        </w:rPr>
      </w:pPr>
      <w:r w:rsidRPr="00AC398B">
        <w:rPr>
          <w:b/>
        </w:rPr>
        <w:t>Essential Elements of Quality</w:t>
      </w:r>
    </w:p>
    <w:p w:rsidR="00AC398B" w:rsidRDefault="00AC398B" w:rsidP="00AC398B">
      <w:pPr>
        <w:pStyle w:val="NoSpacing"/>
        <w:numPr>
          <w:ilvl w:val="0"/>
          <w:numId w:val="3"/>
        </w:numPr>
      </w:pPr>
      <w:r>
        <w:t>Components of Quality:</w:t>
      </w:r>
    </w:p>
    <w:p w:rsidR="00AC398B" w:rsidRDefault="0029712B" w:rsidP="00AC398B">
      <w:pPr>
        <w:pStyle w:val="NoSpacing"/>
        <w:numPr>
          <w:ilvl w:val="1"/>
          <w:numId w:val="3"/>
        </w:numPr>
      </w:pPr>
      <w:r>
        <w:t>Qualifications</w:t>
      </w:r>
    </w:p>
    <w:p w:rsidR="0029712B" w:rsidRPr="0029712B" w:rsidRDefault="00E666BE" w:rsidP="00E666BE">
      <w:pPr>
        <w:pStyle w:val="NoSpacing"/>
        <w:ind w:left="1080" w:firstLine="360"/>
      </w:pPr>
      <w:r>
        <w:t xml:space="preserve">Education, Training </w:t>
      </w:r>
    </w:p>
    <w:p w:rsidR="0029712B" w:rsidRDefault="0029712B" w:rsidP="00AC398B">
      <w:pPr>
        <w:pStyle w:val="NoSpacing"/>
        <w:numPr>
          <w:ilvl w:val="1"/>
          <w:numId w:val="3"/>
        </w:numPr>
      </w:pPr>
      <w:r>
        <w:t>Management and Administration</w:t>
      </w:r>
    </w:p>
    <w:p w:rsidR="00E666BE" w:rsidRPr="00E666BE" w:rsidRDefault="00E666BE" w:rsidP="00E666BE">
      <w:pPr>
        <w:pStyle w:val="NoSpacing"/>
        <w:ind w:left="1440"/>
      </w:pPr>
      <w:r>
        <w:t>Personnel Management</w:t>
      </w:r>
      <w:r w:rsidRPr="00E666BE">
        <w:t>, Op</w:t>
      </w:r>
      <w:r>
        <w:t xml:space="preserve">erations and Administration, Fiscal Management </w:t>
      </w:r>
    </w:p>
    <w:p w:rsidR="0029712B" w:rsidRDefault="0029712B" w:rsidP="00AC398B">
      <w:pPr>
        <w:pStyle w:val="NoSpacing"/>
        <w:numPr>
          <w:ilvl w:val="1"/>
          <w:numId w:val="3"/>
        </w:numPr>
      </w:pPr>
      <w:r>
        <w:t>Learning Environments and Curriculum</w:t>
      </w:r>
    </w:p>
    <w:p w:rsidR="0029712B" w:rsidRPr="00E666BE" w:rsidRDefault="00E666BE" w:rsidP="0029712B">
      <w:pPr>
        <w:pStyle w:val="NoSpacing"/>
        <w:ind w:left="1440"/>
      </w:pPr>
      <w:r w:rsidRPr="00E666BE">
        <w:t>Classroom Environment</w:t>
      </w:r>
      <w:r>
        <w:t>, Observation &amp; Assessment</w:t>
      </w:r>
      <w:r w:rsidRPr="00E666BE">
        <w:t>, Curriculum Planning &amp; Implementation</w:t>
      </w:r>
    </w:p>
    <w:p w:rsidR="0029712B" w:rsidRDefault="0029712B" w:rsidP="0029712B">
      <w:pPr>
        <w:pStyle w:val="NoSpacing"/>
        <w:numPr>
          <w:ilvl w:val="1"/>
          <w:numId w:val="3"/>
        </w:numPr>
      </w:pPr>
      <w:r>
        <w:t>Family and Community Partnerships</w:t>
      </w:r>
    </w:p>
    <w:p w:rsidR="0029712B" w:rsidRDefault="0029712B" w:rsidP="00E666BE">
      <w:pPr>
        <w:pStyle w:val="NoSpacing"/>
        <w:ind w:left="1440"/>
      </w:pPr>
      <w:r>
        <w:t xml:space="preserve">Categories: Communication, Involvement &amp; Support, Community Partnerships </w:t>
      </w:r>
    </w:p>
    <w:p w:rsidR="00E666BE" w:rsidRDefault="00E666BE" w:rsidP="00E666BE">
      <w:pPr>
        <w:pStyle w:val="NoSpacing"/>
        <w:rPr>
          <w:b/>
        </w:rPr>
      </w:pPr>
    </w:p>
    <w:p w:rsidR="00E666BE" w:rsidRDefault="00E666BE" w:rsidP="00E666BE">
      <w:pPr>
        <w:pStyle w:val="NoSpacing"/>
        <w:rPr>
          <w:b/>
        </w:rPr>
      </w:pPr>
      <w:r>
        <w:rPr>
          <w:b/>
        </w:rPr>
        <w:t>Part B 619 Involvement with Delaware Stars TQRIS</w:t>
      </w:r>
    </w:p>
    <w:p w:rsidR="00E666BE" w:rsidRPr="00E666BE" w:rsidRDefault="00E666BE" w:rsidP="00E666BE">
      <w:pPr>
        <w:pStyle w:val="NoSpacing"/>
        <w:numPr>
          <w:ilvl w:val="0"/>
          <w:numId w:val="3"/>
        </w:numPr>
        <w:rPr>
          <w:b/>
        </w:rPr>
      </w:pPr>
      <w:r>
        <w:t xml:space="preserve">Involved in development of TQRIS in 2005 </w:t>
      </w:r>
    </w:p>
    <w:p w:rsidR="00E666BE" w:rsidRPr="00E666BE" w:rsidRDefault="00E666BE" w:rsidP="00E666BE">
      <w:pPr>
        <w:pStyle w:val="NoSpacing"/>
        <w:numPr>
          <w:ilvl w:val="1"/>
          <w:numId w:val="3"/>
        </w:numPr>
        <w:rPr>
          <w:b/>
        </w:rPr>
      </w:pPr>
      <w:r>
        <w:t xml:space="preserve">Goal of TQRIS development </w:t>
      </w:r>
      <w:r w:rsidR="00EA7AD3">
        <w:t>–</w:t>
      </w:r>
      <w:r>
        <w:t xml:space="preserve"> Creating quality environments for at risk children (including children with disabilities)</w:t>
      </w:r>
    </w:p>
    <w:p w:rsidR="00E666BE" w:rsidRPr="009C7621" w:rsidRDefault="0066319E" w:rsidP="00E666BE">
      <w:pPr>
        <w:pStyle w:val="NoSpacing"/>
        <w:numPr>
          <w:ilvl w:val="1"/>
          <w:numId w:val="3"/>
        </w:numPr>
        <w:rPr>
          <w:b/>
        </w:rPr>
      </w:pPr>
      <w:r>
        <w:t xml:space="preserve">Crosswalk </w:t>
      </w:r>
      <w:r w:rsidR="00EA7AD3">
        <w:t>–</w:t>
      </w:r>
      <w:r>
        <w:t xml:space="preserve"> </w:t>
      </w:r>
      <w:r w:rsidR="00E666BE">
        <w:t>DE Stars TQRIS Standards and Part B 619 Regulations and Procedures developed by 619 Workgroup</w:t>
      </w:r>
      <w:r w:rsidR="009C7621">
        <w:t xml:space="preserve">    </w:t>
      </w:r>
    </w:p>
    <w:p w:rsidR="009C7621" w:rsidRPr="0066319E" w:rsidRDefault="009C7621" w:rsidP="009C7621">
      <w:pPr>
        <w:pStyle w:val="NoSpacing"/>
        <w:ind w:left="1440"/>
        <w:rPr>
          <w:b/>
        </w:rPr>
      </w:pPr>
      <w:hyperlink r:id="rId6" w:tgtFrame="_blank" w:history="1">
        <w:r>
          <w:rPr>
            <w:rStyle w:val="Hyperlink"/>
          </w:rPr>
          <w:t>http://www.doe.k12.de.us/infosuites/students_family/earlychildhood/619.shtml</w:t>
        </w:r>
      </w:hyperlink>
    </w:p>
    <w:p w:rsidR="00EA7AD3" w:rsidRPr="00EA7AD3" w:rsidRDefault="00EA7AD3" w:rsidP="00E666BE">
      <w:pPr>
        <w:pStyle w:val="NoSpacing"/>
        <w:numPr>
          <w:ilvl w:val="1"/>
          <w:numId w:val="3"/>
        </w:numPr>
        <w:rPr>
          <w:b/>
        </w:rPr>
      </w:pPr>
      <w:r>
        <w:t>619 Programs enter at Tier 3 with documentation and ERS score of 3</w:t>
      </w:r>
    </w:p>
    <w:p w:rsidR="0066319E" w:rsidRPr="00E666BE" w:rsidRDefault="00EA7AD3" w:rsidP="00EA7AD3">
      <w:pPr>
        <w:pStyle w:val="NoSpacing"/>
        <w:ind w:left="1440"/>
        <w:rPr>
          <w:b/>
        </w:rPr>
      </w:pPr>
      <w:r>
        <w:t xml:space="preserve">Inclusive programs (50% or more) enter at Tier 4 with documentation and ERS score of 4 </w:t>
      </w:r>
    </w:p>
    <w:p w:rsidR="00E666BE" w:rsidRPr="00E666BE" w:rsidRDefault="00E666BE" w:rsidP="00E666BE">
      <w:pPr>
        <w:pStyle w:val="NoSpacing"/>
        <w:numPr>
          <w:ilvl w:val="1"/>
          <w:numId w:val="3"/>
        </w:numPr>
        <w:rPr>
          <w:b/>
        </w:rPr>
      </w:pPr>
      <w:r>
        <w:t xml:space="preserve">Currently revising 619 Procedures Manual to include </w:t>
      </w:r>
      <w:r w:rsidR="00EA7AD3">
        <w:t xml:space="preserve">Stars </w:t>
      </w:r>
      <w:r>
        <w:t>Quali</w:t>
      </w:r>
      <w:r w:rsidR="00EA7AD3">
        <w:t>ty Standards and Portfolio Items</w:t>
      </w:r>
    </w:p>
    <w:p w:rsidR="00E666BE" w:rsidRDefault="00E666BE"/>
    <w:p w:rsidR="00EA7AD3" w:rsidRDefault="00EF21D6">
      <w:r>
        <w:br w:type="page"/>
      </w:r>
    </w:p>
    <w:tbl>
      <w:tblPr>
        <w:tblpPr w:leftFromText="180" w:rightFromText="180" w:vertAnchor="page" w:horzAnchor="margin" w:tblpY="372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20" w:firstRow="1" w:lastRow="0" w:firstColumn="0" w:lastColumn="0" w:noHBand="0" w:noVBand="1"/>
      </w:tblPr>
      <w:tblGrid>
        <w:gridCol w:w="1188"/>
        <w:gridCol w:w="2160"/>
        <w:gridCol w:w="2880"/>
        <w:gridCol w:w="3510"/>
      </w:tblGrid>
      <w:tr w:rsidR="00EA7AD3" w:rsidRPr="00EA7AD3" w:rsidTr="00EF21D6">
        <w:trPr>
          <w:cantSplit/>
          <w:tblHeader/>
        </w:trPr>
        <w:tc>
          <w:tcPr>
            <w:tcW w:w="1188" w:type="dxa"/>
            <w:shd w:val="clear" w:color="auto" w:fill="FBD4B4"/>
          </w:tcPr>
          <w:p w:rsidR="00EA7AD3" w:rsidRPr="00EA7AD3" w:rsidRDefault="00EA7AD3" w:rsidP="00EF21D6">
            <w:pPr>
              <w:spacing w:after="0" w:line="240" w:lineRule="auto"/>
              <w:rPr>
                <w:rFonts w:ascii="Calibri" w:eastAsia="Calibri" w:hAnsi="Calibri" w:cs="Times New Roman"/>
                <w:b/>
                <w:sz w:val="24"/>
                <w:szCs w:val="24"/>
              </w:rPr>
            </w:pPr>
            <w:r w:rsidRPr="00EA7AD3">
              <w:rPr>
                <w:rFonts w:ascii="Calibri" w:eastAsia="Calibri" w:hAnsi="Calibri" w:cs="Times New Roman"/>
                <w:b/>
                <w:sz w:val="24"/>
                <w:szCs w:val="24"/>
              </w:rPr>
              <w:lastRenderedPageBreak/>
              <w:t>Code</w:t>
            </w:r>
          </w:p>
        </w:tc>
        <w:tc>
          <w:tcPr>
            <w:tcW w:w="2160" w:type="dxa"/>
            <w:shd w:val="clear" w:color="auto" w:fill="FBD4B4"/>
          </w:tcPr>
          <w:p w:rsidR="00EA7AD3" w:rsidRPr="00EA7AD3" w:rsidRDefault="00EA7AD3" w:rsidP="00EF21D6">
            <w:pPr>
              <w:spacing w:after="0" w:line="240" w:lineRule="auto"/>
              <w:jc w:val="center"/>
              <w:rPr>
                <w:rFonts w:ascii="Calibri" w:eastAsia="Calibri" w:hAnsi="Calibri" w:cs="Times New Roman"/>
                <w:b/>
                <w:sz w:val="24"/>
                <w:szCs w:val="24"/>
              </w:rPr>
            </w:pPr>
            <w:r w:rsidRPr="00EA7AD3">
              <w:rPr>
                <w:rFonts w:ascii="Calibri" w:eastAsia="Calibri" w:hAnsi="Calibri" w:cs="Times New Roman"/>
                <w:b/>
                <w:sz w:val="24"/>
                <w:szCs w:val="24"/>
              </w:rPr>
              <w:t>Stars Standards</w:t>
            </w:r>
          </w:p>
        </w:tc>
        <w:tc>
          <w:tcPr>
            <w:tcW w:w="2880" w:type="dxa"/>
            <w:shd w:val="clear" w:color="auto" w:fill="FBD4B4"/>
          </w:tcPr>
          <w:p w:rsidR="00EA7AD3" w:rsidRPr="00EA7AD3" w:rsidRDefault="00EA7AD3" w:rsidP="00EF21D6">
            <w:pPr>
              <w:spacing w:after="0" w:line="240" w:lineRule="auto"/>
              <w:jc w:val="center"/>
              <w:rPr>
                <w:rFonts w:ascii="Calibri" w:eastAsia="Calibri" w:hAnsi="Calibri" w:cs="Times New Roman"/>
                <w:b/>
                <w:sz w:val="24"/>
                <w:szCs w:val="24"/>
              </w:rPr>
            </w:pPr>
            <w:r w:rsidRPr="00EA7AD3">
              <w:rPr>
                <w:rFonts w:ascii="Calibri" w:eastAsia="Calibri" w:hAnsi="Calibri" w:cs="Times New Roman"/>
                <w:b/>
                <w:sz w:val="24"/>
                <w:szCs w:val="24"/>
              </w:rPr>
              <w:t>Regulations</w:t>
            </w:r>
          </w:p>
        </w:tc>
        <w:tc>
          <w:tcPr>
            <w:tcW w:w="3510" w:type="dxa"/>
            <w:shd w:val="clear" w:color="auto" w:fill="FBD4B4"/>
          </w:tcPr>
          <w:p w:rsidR="00EA7AD3" w:rsidRPr="00EA7AD3" w:rsidRDefault="00EA7AD3" w:rsidP="00EF21D6">
            <w:pPr>
              <w:spacing w:after="0" w:line="240" w:lineRule="auto"/>
              <w:jc w:val="center"/>
              <w:rPr>
                <w:rFonts w:ascii="Calibri" w:eastAsia="Calibri" w:hAnsi="Calibri" w:cs="Times New Roman"/>
                <w:b/>
                <w:sz w:val="24"/>
                <w:szCs w:val="24"/>
              </w:rPr>
            </w:pPr>
            <w:r w:rsidRPr="00EA7AD3">
              <w:rPr>
                <w:rFonts w:ascii="Calibri" w:eastAsia="Calibri" w:hAnsi="Calibri" w:cs="Times New Roman"/>
                <w:b/>
                <w:sz w:val="24"/>
                <w:szCs w:val="24"/>
              </w:rPr>
              <w:t>619 Program Standards</w:t>
            </w:r>
          </w:p>
        </w:tc>
      </w:tr>
      <w:tr w:rsidR="00EA7AD3" w:rsidRPr="00EA7AD3" w:rsidTr="00EF21D6">
        <w:trPr>
          <w:trHeight w:val="467"/>
        </w:trPr>
        <w:tc>
          <w:tcPr>
            <w:tcW w:w="1188" w:type="dxa"/>
            <w:tcBorders>
              <w:bottom w:val="single" w:sz="4" w:space="0" w:color="auto"/>
            </w:tcBorders>
            <w:shd w:val="clear" w:color="auto" w:fill="FBD4B4"/>
          </w:tcPr>
          <w:p w:rsidR="00EA7AD3" w:rsidRPr="00EA7AD3" w:rsidRDefault="00EA7AD3" w:rsidP="00EF21D6">
            <w:pPr>
              <w:spacing w:after="0" w:line="240" w:lineRule="auto"/>
              <w:rPr>
                <w:rFonts w:ascii="Calibri" w:eastAsia="Calibri" w:hAnsi="Calibri" w:cs="Times New Roman"/>
                <w:b/>
              </w:rPr>
            </w:pPr>
            <w:r w:rsidRPr="00EA7AD3">
              <w:rPr>
                <w:rFonts w:ascii="Calibri" w:eastAsia="Calibri" w:hAnsi="Calibri" w:cs="Times New Roman"/>
                <w:b/>
              </w:rPr>
              <w:t>FC1</w:t>
            </w:r>
          </w:p>
          <w:p w:rsidR="00EA7AD3" w:rsidRPr="00EA7AD3" w:rsidRDefault="00EA7AD3" w:rsidP="00EF21D6">
            <w:pPr>
              <w:spacing w:after="0" w:line="240" w:lineRule="auto"/>
              <w:rPr>
                <w:rFonts w:ascii="Calibri" w:eastAsia="Calibri" w:hAnsi="Calibri" w:cs="Times New Roman"/>
              </w:rPr>
            </w:pPr>
            <w:r w:rsidRPr="00EA7AD3">
              <w:rPr>
                <w:rFonts w:ascii="Calibri" w:eastAsia="Calibri" w:hAnsi="Calibri" w:cs="Times New Roman"/>
              </w:rPr>
              <w:t>Maximum</w:t>
            </w:r>
          </w:p>
          <w:p w:rsidR="00EA7AD3" w:rsidRPr="00EA7AD3" w:rsidRDefault="00EA7AD3" w:rsidP="00EF21D6">
            <w:pPr>
              <w:spacing w:after="0" w:line="240" w:lineRule="auto"/>
              <w:rPr>
                <w:rFonts w:ascii="Calibri" w:eastAsia="Calibri" w:hAnsi="Calibri" w:cs="Times New Roman"/>
              </w:rPr>
            </w:pPr>
            <w:r w:rsidRPr="00EA7AD3">
              <w:rPr>
                <w:rFonts w:ascii="Calibri" w:eastAsia="Calibri" w:hAnsi="Calibri" w:cs="Times New Roman"/>
              </w:rPr>
              <w:t>2 points</w:t>
            </w:r>
          </w:p>
        </w:tc>
        <w:tc>
          <w:tcPr>
            <w:tcW w:w="2160" w:type="dxa"/>
            <w:tcBorders>
              <w:bottom w:val="single" w:sz="4" w:space="0" w:color="auto"/>
            </w:tcBorders>
            <w:shd w:val="clear" w:color="auto" w:fill="FBD4B4"/>
          </w:tcPr>
          <w:p w:rsidR="00EA7AD3" w:rsidRPr="00EA7AD3" w:rsidRDefault="00EA7AD3" w:rsidP="00EF21D6">
            <w:pPr>
              <w:spacing w:after="0" w:line="240" w:lineRule="auto"/>
              <w:rPr>
                <w:rFonts w:ascii="Calibri" w:eastAsia="Calibri" w:hAnsi="Calibri" w:cs="Times New Roman"/>
              </w:rPr>
            </w:pPr>
            <w:r w:rsidRPr="00EA7AD3">
              <w:rPr>
                <w:rFonts w:ascii="Calibri" w:eastAsia="Calibri" w:hAnsi="Calibri" w:cs="Times New Roman"/>
              </w:rPr>
              <w:t xml:space="preserve">Program welcomes all children and their families with procedures that embrace inclusion and diversity. </w:t>
            </w:r>
          </w:p>
        </w:tc>
        <w:tc>
          <w:tcPr>
            <w:tcW w:w="2880" w:type="dxa"/>
            <w:tcBorders>
              <w:bottom w:val="single" w:sz="4" w:space="0" w:color="auto"/>
            </w:tcBorders>
            <w:shd w:val="clear" w:color="auto" w:fill="FBD4B4"/>
          </w:tcPr>
          <w:p w:rsidR="00EA7AD3" w:rsidRPr="00EA7AD3" w:rsidRDefault="00EA7AD3" w:rsidP="00EF21D6">
            <w:pPr>
              <w:autoSpaceDE w:val="0"/>
              <w:autoSpaceDN w:val="0"/>
              <w:adjustRightInd w:val="0"/>
              <w:spacing w:after="0" w:line="240" w:lineRule="auto"/>
              <w:rPr>
                <w:rFonts w:ascii="Calibri" w:eastAsia="Calibri" w:hAnsi="Calibri" w:cs="Arial"/>
                <w:color w:val="000000"/>
              </w:rPr>
            </w:pPr>
            <w:r w:rsidRPr="00EA7AD3">
              <w:rPr>
                <w:rFonts w:ascii="Calibri" w:eastAsia="Calibri" w:hAnsi="Calibri" w:cs="Arial"/>
                <w:b/>
                <w:bCs/>
                <w:color w:val="000000"/>
              </w:rPr>
              <w:t xml:space="preserve"> IDEA: LRE:   A1/B1</w:t>
            </w:r>
          </w:p>
        </w:tc>
        <w:tc>
          <w:tcPr>
            <w:tcW w:w="3510" w:type="dxa"/>
            <w:tcBorders>
              <w:bottom w:val="single" w:sz="4" w:space="0" w:color="auto"/>
            </w:tcBorders>
            <w:shd w:val="clear" w:color="auto" w:fill="FBD4B4"/>
          </w:tcPr>
          <w:p w:rsidR="00EA7AD3" w:rsidRPr="00EA7AD3" w:rsidRDefault="00EA7AD3" w:rsidP="00EF21D6">
            <w:pPr>
              <w:spacing w:after="0" w:line="240" w:lineRule="auto"/>
              <w:rPr>
                <w:rFonts w:ascii="Calibri" w:eastAsia="Calibri" w:hAnsi="Calibri" w:cs="Times New Roman"/>
                <w:b/>
              </w:rPr>
            </w:pPr>
            <w:r w:rsidRPr="00EA7AD3">
              <w:rPr>
                <w:rFonts w:ascii="Calibri" w:eastAsia="Calibri" w:hAnsi="Calibri" w:cs="Times New Roman"/>
                <w:b/>
              </w:rPr>
              <w:t>REQUIRED</w:t>
            </w:r>
          </w:p>
          <w:p w:rsidR="00EA7AD3" w:rsidRPr="00EA7AD3" w:rsidRDefault="00EA7AD3" w:rsidP="00EF21D6">
            <w:pPr>
              <w:spacing w:after="0" w:line="240" w:lineRule="auto"/>
              <w:rPr>
                <w:rFonts w:ascii="Calibri" w:eastAsia="Calibri" w:hAnsi="Calibri" w:cs="Times New Roman"/>
              </w:rPr>
            </w:pPr>
            <w:r w:rsidRPr="00EA7AD3">
              <w:rPr>
                <w:rFonts w:ascii="Calibri" w:eastAsia="Calibri" w:hAnsi="Calibri" w:cs="Times New Roman"/>
              </w:rPr>
              <w:t xml:space="preserve"> </w:t>
            </w:r>
            <w:r w:rsidRPr="00EA7AD3">
              <w:rPr>
                <w:rFonts w:ascii="Calibri" w:eastAsia="Calibri" w:hAnsi="Calibri" w:cs="Times New Roman"/>
                <w:b/>
              </w:rPr>
              <w:t>619 Procedures Manual</w:t>
            </w:r>
            <w:r w:rsidRPr="00EA7AD3">
              <w:rPr>
                <w:rFonts w:ascii="Calibri" w:eastAsia="Calibri" w:hAnsi="Calibri" w:cs="Times New Roman"/>
              </w:rPr>
              <w:t xml:space="preserve"> </w:t>
            </w:r>
          </w:p>
          <w:p w:rsidR="00EA7AD3" w:rsidRPr="00EA7AD3" w:rsidRDefault="00EA7AD3" w:rsidP="00EF21D6">
            <w:pPr>
              <w:spacing w:after="0" w:line="240" w:lineRule="auto"/>
              <w:rPr>
                <w:rFonts w:ascii="Calibri" w:eastAsia="Calibri" w:hAnsi="Calibri" w:cs="Times New Roman"/>
              </w:rPr>
            </w:pPr>
            <w:r w:rsidRPr="00EA7AD3">
              <w:rPr>
                <w:rFonts w:ascii="Calibri" w:eastAsia="Calibri" w:hAnsi="Calibri" w:cs="Times New Roman"/>
              </w:rPr>
              <w:t>1.Star 3</w:t>
            </w:r>
          </w:p>
          <w:p w:rsidR="00EA7AD3" w:rsidRPr="00EA7AD3" w:rsidRDefault="00EA7AD3" w:rsidP="00EF21D6">
            <w:pPr>
              <w:spacing w:after="0" w:line="240" w:lineRule="auto"/>
              <w:rPr>
                <w:rFonts w:ascii="Calibri" w:eastAsia="Calibri" w:hAnsi="Calibri" w:cs="Times New Roman"/>
              </w:rPr>
            </w:pPr>
            <w:r w:rsidRPr="00EA7AD3">
              <w:rPr>
                <w:rFonts w:ascii="Calibri" w:eastAsia="Calibri" w:hAnsi="Calibri" w:cs="Times New Roman"/>
              </w:rPr>
              <w:t xml:space="preserve"> Programs must follow  NAEYC/DEC Inclusion Policy</w:t>
            </w:r>
          </w:p>
          <w:p w:rsidR="00EA7AD3" w:rsidRPr="00EA7AD3" w:rsidRDefault="00EA7AD3" w:rsidP="00EF21D6">
            <w:pPr>
              <w:spacing w:after="0" w:line="240" w:lineRule="auto"/>
              <w:rPr>
                <w:rFonts w:ascii="Calibri" w:eastAsia="Calibri" w:hAnsi="Calibri" w:cs="Times New Roman"/>
              </w:rPr>
            </w:pPr>
            <w:r w:rsidRPr="00EA7AD3">
              <w:rPr>
                <w:rFonts w:ascii="Calibri" w:eastAsia="Calibri" w:hAnsi="Calibri" w:cs="Times New Roman"/>
              </w:rPr>
              <w:t>Star 4 Requirement:</w:t>
            </w:r>
          </w:p>
          <w:p w:rsidR="00EA7AD3" w:rsidRPr="00EA7AD3" w:rsidRDefault="00EA7AD3" w:rsidP="00EF21D6">
            <w:pPr>
              <w:spacing w:after="0" w:line="240" w:lineRule="auto"/>
              <w:rPr>
                <w:rFonts w:ascii="Calibri" w:eastAsia="Calibri" w:hAnsi="Calibri" w:cs="Times New Roman"/>
              </w:rPr>
            </w:pPr>
          </w:p>
          <w:p w:rsidR="00EA7AD3" w:rsidRPr="00EA7AD3" w:rsidRDefault="00EA7AD3" w:rsidP="00EF21D6">
            <w:pPr>
              <w:spacing w:after="0" w:line="240" w:lineRule="auto"/>
              <w:rPr>
                <w:rFonts w:ascii="Calibri" w:eastAsia="Calibri" w:hAnsi="Calibri" w:cs="Times New Roman"/>
              </w:rPr>
            </w:pPr>
            <w:r w:rsidRPr="00EA7AD3">
              <w:rPr>
                <w:rFonts w:ascii="Calibri" w:eastAsia="Calibri" w:hAnsi="Calibri" w:cs="Times New Roman"/>
              </w:rPr>
              <w:t>APR Meet LRE Setting A1 or B1 for all classrooms</w:t>
            </w:r>
          </w:p>
          <w:p w:rsidR="00EA7AD3" w:rsidRPr="00EA7AD3" w:rsidRDefault="00EA7AD3" w:rsidP="00EF21D6">
            <w:pPr>
              <w:autoSpaceDE w:val="0"/>
              <w:autoSpaceDN w:val="0"/>
              <w:adjustRightInd w:val="0"/>
              <w:spacing w:after="0" w:line="240" w:lineRule="auto"/>
              <w:rPr>
                <w:rFonts w:ascii="Calibri" w:eastAsia="Calibri" w:hAnsi="Calibri" w:cs="Arial"/>
                <w:color w:val="000000"/>
              </w:rPr>
            </w:pPr>
            <w:r w:rsidRPr="00EA7AD3">
              <w:rPr>
                <w:rFonts w:ascii="Calibri" w:eastAsia="Calibri" w:hAnsi="Calibri" w:cs="Arial"/>
                <w:color w:val="000000"/>
              </w:rPr>
              <w:t xml:space="preserve">A1 - If at least 10 hours per week: </w:t>
            </w:r>
          </w:p>
          <w:p w:rsidR="00EA7AD3" w:rsidRPr="00EA7AD3" w:rsidRDefault="00EA7AD3" w:rsidP="00EF21D6">
            <w:pPr>
              <w:autoSpaceDE w:val="0"/>
              <w:autoSpaceDN w:val="0"/>
              <w:adjustRightInd w:val="0"/>
              <w:spacing w:after="0" w:line="240" w:lineRule="auto"/>
              <w:rPr>
                <w:rFonts w:ascii="Calibri" w:eastAsia="Calibri" w:hAnsi="Calibri" w:cs="Arial"/>
                <w:color w:val="000000"/>
              </w:rPr>
            </w:pPr>
            <w:r w:rsidRPr="00EA7AD3">
              <w:rPr>
                <w:rFonts w:ascii="Calibri" w:eastAsia="Calibri" w:hAnsi="Calibri" w:cs="Arial"/>
                <w:color w:val="000000"/>
              </w:rPr>
              <w:t xml:space="preserve">Where does the child receive the majority of hours of special education and related services? </w:t>
            </w:r>
          </w:p>
          <w:p w:rsidR="00EA7AD3" w:rsidRPr="00EA7AD3" w:rsidRDefault="00EA7AD3" w:rsidP="00EF21D6">
            <w:pPr>
              <w:autoSpaceDE w:val="0"/>
              <w:autoSpaceDN w:val="0"/>
              <w:adjustRightInd w:val="0"/>
              <w:spacing w:after="0" w:line="240" w:lineRule="auto"/>
              <w:rPr>
                <w:rFonts w:ascii="Calibri" w:eastAsia="Calibri" w:hAnsi="Calibri" w:cs="Arial"/>
                <w:color w:val="000000"/>
              </w:rPr>
            </w:pPr>
            <w:r w:rsidRPr="00EA7AD3">
              <w:rPr>
                <w:rFonts w:ascii="Calibri" w:eastAsia="Calibri" w:hAnsi="Calibri" w:cs="Arial"/>
                <w:b/>
                <w:bCs/>
                <w:color w:val="000000"/>
              </w:rPr>
              <w:t xml:space="preserve">A1 = In the regular education program </w:t>
            </w:r>
          </w:p>
          <w:p w:rsidR="00EA7AD3" w:rsidRPr="00EA7AD3" w:rsidRDefault="00EA7AD3" w:rsidP="00EF21D6">
            <w:pPr>
              <w:autoSpaceDE w:val="0"/>
              <w:autoSpaceDN w:val="0"/>
              <w:adjustRightInd w:val="0"/>
              <w:spacing w:after="0" w:line="240" w:lineRule="auto"/>
              <w:rPr>
                <w:rFonts w:ascii="Calibri" w:eastAsia="Calibri" w:hAnsi="Calibri" w:cs="Arial"/>
                <w:color w:val="000000"/>
              </w:rPr>
            </w:pPr>
            <w:r w:rsidRPr="00EA7AD3">
              <w:rPr>
                <w:rFonts w:ascii="Calibri" w:eastAsia="Calibri" w:hAnsi="Calibri" w:cs="Arial"/>
                <w:color w:val="000000"/>
              </w:rPr>
              <w:t xml:space="preserve">B1  -If less than 10 hours per week: </w:t>
            </w:r>
          </w:p>
          <w:p w:rsidR="00EA7AD3" w:rsidRPr="00EA7AD3" w:rsidRDefault="00EA7AD3" w:rsidP="00EF21D6">
            <w:pPr>
              <w:autoSpaceDE w:val="0"/>
              <w:autoSpaceDN w:val="0"/>
              <w:adjustRightInd w:val="0"/>
              <w:spacing w:after="0" w:line="240" w:lineRule="auto"/>
              <w:rPr>
                <w:rFonts w:ascii="Calibri" w:eastAsia="Calibri" w:hAnsi="Calibri" w:cs="Arial"/>
                <w:color w:val="000000"/>
              </w:rPr>
            </w:pPr>
            <w:r w:rsidRPr="00EA7AD3">
              <w:rPr>
                <w:rFonts w:ascii="Calibri" w:eastAsia="Calibri" w:hAnsi="Calibri" w:cs="Arial"/>
                <w:color w:val="000000"/>
              </w:rPr>
              <w:t xml:space="preserve">Where does the child receive the majority of hours of special education and </w:t>
            </w:r>
          </w:p>
        </w:tc>
      </w:tr>
    </w:tbl>
    <w:p w:rsidR="00074C76" w:rsidRDefault="00074C76" w:rsidP="00EA7AD3">
      <w:pPr>
        <w:spacing w:after="0" w:line="240" w:lineRule="auto"/>
        <w:rPr>
          <w:rFonts w:ascii="Calibri" w:eastAsia="Times New Roman" w:hAnsi="Calibri" w:cs="Calibri"/>
          <w:b/>
          <w:bCs/>
          <w:i/>
          <w:iCs/>
          <w:color w:val="000000"/>
          <w:sz w:val="24"/>
          <w:szCs w:val="24"/>
          <w:u w:val="single"/>
        </w:rPr>
      </w:pPr>
      <w:r w:rsidRPr="00074C76">
        <w:rPr>
          <w:rFonts w:ascii="Calibri" w:eastAsia="Times New Roman" w:hAnsi="Calibri" w:cs="Calibri"/>
          <w:b/>
          <w:bCs/>
          <w:iCs/>
          <w:color w:val="000000"/>
          <w:sz w:val="24"/>
          <w:szCs w:val="24"/>
        </w:rPr>
        <w:t>Delaware Stars/619 Crosswalk</w:t>
      </w:r>
      <w:r>
        <w:rPr>
          <w:rFonts w:ascii="Calibri" w:eastAsia="Times New Roman" w:hAnsi="Calibri" w:cs="Calibri"/>
          <w:b/>
          <w:bCs/>
          <w:i/>
          <w:iCs/>
          <w:color w:val="000000"/>
          <w:sz w:val="24"/>
          <w:szCs w:val="24"/>
          <w:u w:val="single"/>
        </w:rPr>
        <w:t>:</w:t>
      </w:r>
    </w:p>
    <w:p w:rsidR="00074C76" w:rsidRDefault="00074C76" w:rsidP="00EA7AD3">
      <w:pPr>
        <w:spacing w:after="0" w:line="240" w:lineRule="auto"/>
        <w:rPr>
          <w:rFonts w:ascii="Calibri" w:eastAsia="Times New Roman" w:hAnsi="Calibri" w:cs="Calibri"/>
          <w:b/>
          <w:bCs/>
          <w:i/>
          <w:iCs/>
          <w:color w:val="000000"/>
          <w:sz w:val="24"/>
          <w:szCs w:val="24"/>
          <w:u w:val="single"/>
        </w:rPr>
      </w:pPr>
      <w:bookmarkStart w:id="0" w:name="_GoBack"/>
      <w:bookmarkEnd w:id="0"/>
    </w:p>
    <w:p w:rsidR="00EA7AD3" w:rsidRPr="00EA7AD3" w:rsidRDefault="00EA7AD3" w:rsidP="00EA7AD3">
      <w:pPr>
        <w:spacing w:after="0" w:line="240" w:lineRule="auto"/>
        <w:rPr>
          <w:rFonts w:ascii="Calibri" w:eastAsia="Times New Roman" w:hAnsi="Calibri" w:cs="Calibri"/>
          <w:b/>
          <w:bCs/>
          <w:color w:val="000000"/>
          <w:sz w:val="24"/>
          <w:szCs w:val="24"/>
        </w:rPr>
      </w:pPr>
      <w:r w:rsidRPr="00EA7AD3">
        <w:rPr>
          <w:rFonts w:ascii="Calibri" w:eastAsia="Times New Roman" w:hAnsi="Calibri" w:cs="Calibri"/>
          <w:b/>
          <w:bCs/>
          <w:i/>
          <w:iCs/>
          <w:color w:val="000000"/>
          <w:sz w:val="24"/>
          <w:szCs w:val="24"/>
          <w:u w:val="single"/>
        </w:rPr>
        <w:t>Domain</w:t>
      </w:r>
      <w:r w:rsidRPr="00EA7AD3">
        <w:rPr>
          <w:rFonts w:ascii="Calibri" w:eastAsia="Times New Roman" w:hAnsi="Calibri" w:cs="Calibri"/>
          <w:b/>
          <w:bCs/>
          <w:color w:val="000000"/>
          <w:sz w:val="24"/>
          <w:szCs w:val="24"/>
          <w:u w:val="single"/>
        </w:rPr>
        <w:t>: Family and Community Partnerships</w:t>
      </w:r>
      <w:r w:rsidRPr="00EA7AD3">
        <w:rPr>
          <w:rFonts w:ascii="Calibri" w:eastAsia="Times New Roman" w:hAnsi="Calibri" w:cs="Calibri"/>
          <w:b/>
          <w:bCs/>
          <w:color w:val="000000"/>
          <w:sz w:val="24"/>
          <w:szCs w:val="24"/>
        </w:rPr>
        <w:t xml:space="preserve">        Maximum 20 points </w:t>
      </w:r>
    </w:p>
    <w:p w:rsidR="00EA7AD3" w:rsidRPr="00EA7AD3" w:rsidRDefault="00EA7AD3" w:rsidP="00EA7AD3">
      <w:pPr>
        <w:spacing w:after="0" w:line="240" w:lineRule="auto"/>
        <w:ind w:left="540"/>
        <w:rPr>
          <w:rFonts w:ascii="Calibri" w:eastAsia="Times New Roman" w:hAnsi="Calibri" w:cs="Calibri"/>
          <w:color w:val="000000"/>
        </w:rPr>
      </w:pPr>
      <w:r w:rsidRPr="00EA7AD3">
        <w:rPr>
          <w:rFonts w:ascii="Calibri" w:eastAsia="Times New Roman" w:hAnsi="Calibri" w:cs="Calibri"/>
          <w:i/>
          <w:iCs/>
          <w:color w:val="000000"/>
        </w:rPr>
        <w:t>Rationale:</w:t>
      </w:r>
      <w:r w:rsidRPr="00EA7AD3">
        <w:rPr>
          <w:rFonts w:ascii="Calibri" w:eastAsia="Times New Roman" w:hAnsi="Calibri" w:cs="Calibri"/>
          <w:color w:val="000000"/>
        </w:rPr>
        <w:t xml:space="preserve"> Family involvement and reciprocal family-provider relationships are fundamental to high quality early care and education services.  This dimension of practice emphasizes ongoing, bi-directional communication between families and programs.  Meaningful family engagement in early care and education programs requires attention and sensitivity to the needs of all families.  Further, collaboration between child care programs and schools/other agencies assists programs in accessing resources to meet the needs of young children and their families.</w:t>
      </w:r>
    </w:p>
    <w:p w:rsidR="00EA7AD3" w:rsidRPr="00EA7AD3" w:rsidRDefault="00EA7AD3" w:rsidP="00EA7AD3">
      <w:pPr>
        <w:spacing w:after="0" w:line="240" w:lineRule="auto"/>
        <w:ind w:left="540"/>
        <w:rPr>
          <w:rFonts w:ascii="Calibri" w:eastAsia="Times New Roman" w:hAnsi="Calibri" w:cs="Calibri"/>
          <w:color w:val="000000"/>
        </w:rPr>
      </w:pPr>
    </w:p>
    <w:p w:rsidR="00EA7AD3" w:rsidRPr="00EA7AD3" w:rsidRDefault="00EA7AD3" w:rsidP="00EA7AD3">
      <w:pPr>
        <w:spacing w:after="0" w:line="240" w:lineRule="auto"/>
        <w:rPr>
          <w:rFonts w:ascii="Calibri" w:eastAsia="Times New Roman" w:hAnsi="Calibri" w:cs="Calibri"/>
          <w:color w:val="000000"/>
        </w:rPr>
      </w:pPr>
      <w:r w:rsidRPr="00EA7AD3">
        <w:rPr>
          <w:rFonts w:ascii="Calibri" w:eastAsia="Times New Roman" w:hAnsi="Calibri" w:cs="Calibri"/>
          <w:color w:val="000000"/>
        </w:rPr>
        <w:t xml:space="preserve">Categories:  Communication (FC), Involvement &amp; Support (FS), Community Partnerships (FP) </w:t>
      </w:r>
    </w:p>
    <w:p w:rsidR="00E666BE" w:rsidRPr="00E666BE" w:rsidRDefault="00E666BE" w:rsidP="00E666BE">
      <w:pPr>
        <w:pStyle w:val="NoSpacing"/>
        <w:ind w:left="1440"/>
        <w:rPr>
          <w:b/>
        </w:rPr>
      </w:pPr>
      <w:r>
        <w:t xml:space="preserve">   </w:t>
      </w:r>
    </w:p>
    <w:sectPr w:rsidR="00E666BE" w:rsidRPr="00E666BE" w:rsidSect="00EA7AD3">
      <w:pgSz w:w="12240" w:h="15840"/>
      <w:pgMar w:top="1008" w:right="1440"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4471"/>
    <w:multiLevelType w:val="hybridMultilevel"/>
    <w:tmpl w:val="C868D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82F66"/>
    <w:multiLevelType w:val="hybridMultilevel"/>
    <w:tmpl w:val="4FAA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F25A56"/>
    <w:multiLevelType w:val="hybridMultilevel"/>
    <w:tmpl w:val="DE7CC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0D"/>
    <w:rsid w:val="00074C76"/>
    <w:rsid w:val="0029712B"/>
    <w:rsid w:val="0066319E"/>
    <w:rsid w:val="0089780D"/>
    <w:rsid w:val="009C7621"/>
    <w:rsid w:val="00AC398B"/>
    <w:rsid w:val="00E5574E"/>
    <w:rsid w:val="00E666BE"/>
    <w:rsid w:val="00EA7AD3"/>
    <w:rsid w:val="00EF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80D"/>
    <w:pPr>
      <w:spacing w:after="0" w:line="240" w:lineRule="auto"/>
    </w:pPr>
  </w:style>
  <w:style w:type="paragraph" w:customStyle="1" w:styleId="Default">
    <w:name w:val="Default"/>
    <w:rsid w:val="0029712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66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6BE"/>
    <w:rPr>
      <w:rFonts w:ascii="Tahoma" w:hAnsi="Tahoma" w:cs="Tahoma"/>
      <w:sz w:val="16"/>
      <w:szCs w:val="16"/>
    </w:rPr>
  </w:style>
  <w:style w:type="character" w:styleId="Hyperlink">
    <w:name w:val="Hyperlink"/>
    <w:basedOn w:val="DefaultParagraphFont"/>
    <w:uiPriority w:val="99"/>
    <w:semiHidden/>
    <w:unhideWhenUsed/>
    <w:rsid w:val="009C76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80D"/>
    <w:pPr>
      <w:spacing w:after="0" w:line="240" w:lineRule="auto"/>
    </w:pPr>
  </w:style>
  <w:style w:type="paragraph" w:customStyle="1" w:styleId="Default">
    <w:name w:val="Default"/>
    <w:rsid w:val="0029712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66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6BE"/>
    <w:rPr>
      <w:rFonts w:ascii="Tahoma" w:hAnsi="Tahoma" w:cs="Tahoma"/>
      <w:sz w:val="16"/>
      <w:szCs w:val="16"/>
    </w:rPr>
  </w:style>
  <w:style w:type="character" w:styleId="Hyperlink">
    <w:name w:val="Hyperlink"/>
    <w:basedOn w:val="DefaultParagraphFont"/>
    <w:uiPriority w:val="99"/>
    <w:semiHidden/>
    <w:unhideWhenUsed/>
    <w:rsid w:val="009C7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doe.k12.de.us/owa/redir.aspx?C=GtQEsEPeiEmxmuprGbH9XnZYy3Clg9AIZuQSYw3SebusOx-1yDsp3aI3195R1n1S-rwwyRydsd0.&amp;URL=http%3a%2f%2fwww.doe.k12.de.us%2finfosuites%2fstudents_family%2fearlychildhood%2f619.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vthompson</dc:creator>
  <cp:lastModifiedBy>vthompson</cp:lastModifiedBy>
  <cp:revision>4</cp:revision>
  <dcterms:created xsi:type="dcterms:W3CDTF">2013-09-12T20:16:00Z</dcterms:created>
  <dcterms:modified xsi:type="dcterms:W3CDTF">2013-09-13T00:16:00Z</dcterms:modified>
</cp:coreProperties>
</file>