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9" w:rsidRDefault="00A437B9" w:rsidP="00A437B9">
      <w:pPr>
        <w:pStyle w:val="Default"/>
      </w:pPr>
    </w:p>
    <w:p w:rsidR="00A437B9" w:rsidRDefault="00A437B9" w:rsidP="00A437B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NTEGRATING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HILD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2"/>
          <w:szCs w:val="22"/>
        </w:rPr>
        <w:t xml:space="preserve">UTCOMES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2"/>
          <w:szCs w:val="22"/>
        </w:rPr>
        <w:t xml:space="preserve">EASUREMENT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NTO THE </w:t>
      </w:r>
      <w:r>
        <w:rPr>
          <w:b/>
          <w:bCs/>
          <w:sz w:val="28"/>
          <w:szCs w:val="28"/>
        </w:rPr>
        <w:t>IEP P</w:t>
      </w:r>
      <w:r>
        <w:rPr>
          <w:b/>
          <w:bCs/>
          <w:sz w:val="22"/>
          <w:szCs w:val="22"/>
        </w:rPr>
        <w:t>ROCESS</w:t>
      </w:r>
    </w:p>
    <w:p w:rsidR="00A437B9" w:rsidRDefault="00A437B9" w:rsidP="00A437B9">
      <w:pPr>
        <w:pStyle w:val="Default"/>
        <w:jc w:val="center"/>
        <w:rPr>
          <w:sz w:val="19"/>
          <w:szCs w:val="19"/>
        </w:rPr>
      </w:pPr>
      <w:r>
        <w:rPr>
          <w:b/>
          <w:bCs/>
          <w:sz w:val="23"/>
          <w:szCs w:val="23"/>
        </w:rPr>
        <w:t>P</w:t>
      </w:r>
      <w:r>
        <w:rPr>
          <w:b/>
          <w:bCs/>
          <w:sz w:val="19"/>
          <w:szCs w:val="19"/>
        </w:rPr>
        <w:t xml:space="preserve">RACTICES </w:t>
      </w:r>
      <w:r>
        <w:rPr>
          <w:b/>
          <w:bCs/>
          <w:sz w:val="23"/>
          <w:szCs w:val="23"/>
        </w:rPr>
        <w:t>S</w:t>
      </w:r>
      <w:r>
        <w:rPr>
          <w:b/>
          <w:bCs/>
          <w:sz w:val="19"/>
          <w:szCs w:val="19"/>
        </w:rPr>
        <w:t xml:space="preserve">UMMARY </w:t>
      </w:r>
      <w:r>
        <w:rPr>
          <w:b/>
          <w:bCs/>
          <w:sz w:val="23"/>
          <w:szCs w:val="23"/>
        </w:rPr>
        <w:t>W</w:t>
      </w:r>
      <w:r>
        <w:rPr>
          <w:b/>
          <w:bCs/>
          <w:sz w:val="19"/>
          <w:szCs w:val="19"/>
        </w:rPr>
        <w:t>ORKSHEET</w:t>
      </w:r>
    </w:p>
    <w:p w:rsidR="00A437B9" w:rsidRDefault="00A437B9" w:rsidP="00A437B9">
      <w:pPr>
        <w:jc w:val="center"/>
        <w:rPr>
          <w:b/>
          <w:bCs/>
        </w:rPr>
      </w:pPr>
    </w:p>
    <w:p w:rsidR="00A437B9" w:rsidRDefault="00A437B9" w:rsidP="00A437B9">
      <w:pPr>
        <w:rPr>
          <w:sz w:val="20"/>
          <w:szCs w:val="20"/>
        </w:rPr>
      </w:pPr>
      <w:r>
        <w:rPr>
          <w:b/>
          <w:bCs/>
        </w:rPr>
        <w:t xml:space="preserve">Instructions:  </w:t>
      </w:r>
      <w:r>
        <w:rPr>
          <w:sz w:val="20"/>
          <w:szCs w:val="20"/>
        </w:rPr>
        <w:t xml:space="preserve">Have your group review and discuss each practice and decide whether each is ‘not implemented,’ ‘needs improvement’ or ‘well </w:t>
      </w:r>
      <w:proofErr w:type="gramStart"/>
      <w:r>
        <w:rPr>
          <w:sz w:val="20"/>
          <w:szCs w:val="20"/>
        </w:rPr>
        <w:t>implemented</w:t>
      </w:r>
      <w:proofErr w:type="gramEnd"/>
      <w:r>
        <w:rPr>
          <w:sz w:val="20"/>
          <w:szCs w:val="20"/>
        </w:rPr>
        <w:t xml:space="preserve">.’ For those practices that are not well implemented, list barriers that seem to interfere with implementation.  </w:t>
      </w:r>
    </w:p>
    <w:p w:rsidR="00A437B9" w:rsidRDefault="00A437B9" w:rsidP="00A437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1697"/>
        <w:gridCol w:w="1724"/>
        <w:gridCol w:w="1697"/>
      </w:tblGrid>
      <w:tr w:rsidR="00A437B9" w:rsidTr="00A437B9">
        <w:tc>
          <w:tcPr>
            <w:tcW w:w="4458" w:type="dxa"/>
          </w:tcPr>
          <w:p w:rsidR="00A437B9" w:rsidRDefault="00A437B9" w:rsidP="008046EC"/>
        </w:tc>
        <w:tc>
          <w:tcPr>
            <w:tcW w:w="5118" w:type="dxa"/>
            <w:gridSpan w:val="3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Check group decision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8046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Referral to the 619 Preschool Program 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Not implemented</w:t>
            </w:r>
          </w:p>
        </w:tc>
        <w:tc>
          <w:tcPr>
            <w:tcW w:w="1724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Needs Improvement</w:t>
            </w:r>
          </w:p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Well</w:t>
            </w:r>
          </w:p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Implemented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family’s initial concerns about their child 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next steps in the referral process 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 smooth transitions for children and families who have participated in Part C services 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619 preschool program as a system of services for helping eligible children develop, learn and successfully participate in home and community life 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8046EC">
        <w:tc>
          <w:tcPr>
            <w:tcW w:w="9576" w:type="dxa"/>
            <w:gridSpan w:val="4"/>
          </w:tcPr>
          <w:p w:rsidR="00A437B9" w:rsidRDefault="00A437B9" w:rsidP="008046EC">
            <w:r>
              <w:t xml:space="preserve">Barriers/Issues:  </w:t>
            </w:r>
          </w:p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</w:tc>
      </w:tr>
    </w:tbl>
    <w:p w:rsidR="00A437B9" w:rsidRDefault="00A437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1697"/>
        <w:gridCol w:w="1724"/>
        <w:gridCol w:w="1697"/>
      </w:tblGrid>
      <w:tr w:rsidR="00A437B9" w:rsidTr="00A437B9">
        <w:tc>
          <w:tcPr>
            <w:tcW w:w="4458" w:type="dxa"/>
          </w:tcPr>
          <w:p w:rsidR="00A437B9" w:rsidRDefault="00A437B9" w:rsidP="008046EC"/>
        </w:tc>
        <w:tc>
          <w:tcPr>
            <w:tcW w:w="5118" w:type="dxa"/>
            <w:gridSpan w:val="3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Check group decision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8046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 Child Evaluation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Not implemented</w:t>
            </w:r>
          </w:p>
        </w:tc>
        <w:tc>
          <w:tcPr>
            <w:tcW w:w="1724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Needs Improvement</w:t>
            </w:r>
          </w:p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Well</w:t>
            </w:r>
          </w:p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Implemented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 the evaluation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Conduct the evaluation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8046EC">
        <w:tc>
          <w:tcPr>
            <w:tcW w:w="9576" w:type="dxa"/>
            <w:gridSpan w:val="4"/>
          </w:tcPr>
          <w:p w:rsidR="00A437B9" w:rsidRDefault="00A437B9" w:rsidP="008046EC">
            <w:r>
              <w:t xml:space="preserve">Barriers/Issues:  </w:t>
            </w:r>
          </w:p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</w:tc>
      </w:tr>
    </w:tbl>
    <w:p w:rsidR="00A437B9" w:rsidRDefault="00A437B9" w:rsidP="00A437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1697"/>
        <w:gridCol w:w="1724"/>
        <w:gridCol w:w="1697"/>
      </w:tblGrid>
      <w:tr w:rsidR="00A437B9" w:rsidTr="00A437B9">
        <w:tc>
          <w:tcPr>
            <w:tcW w:w="4458" w:type="dxa"/>
          </w:tcPr>
          <w:p w:rsidR="00A437B9" w:rsidRDefault="00A437B9" w:rsidP="008046EC"/>
        </w:tc>
        <w:tc>
          <w:tcPr>
            <w:tcW w:w="5118" w:type="dxa"/>
            <w:gridSpan w:val="3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Check group decision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8046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  Eligibility Determination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Not implemented</w:t>
            </w:r>
          </w:p>
        </w:tc>
        <w:tc>
          <w:tcPr>
            <w:tcW w:w="1724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Needs Improvement</w:t>
            </w:r>
          </w:p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Well</w:t>
            </w:r>
          </w:p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Implemented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 determine if the child is eligible for the 619 preschool program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 by state or local policy to do so at this point in the IEP process, summarize the information on the COSF and determine a rating for each outcome area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8046EC">
        <w:tc>
          <w:tcPr>
            <w:tcW w:w="9576" w:type="dxa"/>
            <w:gridSpan w:val="4"/>
          </w:tcPr>
          <w:p w:rsidR="00A437B9" w:rsidRDefault="00A437B9" w:rsidP="008046EC">
            <w:r>
              <w:t xml:space="preserve">Barriers/Issues:  </w:t>
            </w:r>
          </w:p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</w:tc>
      </w:tr>
    </w:tbl>
    <w:p w:rsidR="00A437B9" w:rsidRDefault="00A437B9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1697"/>
        <w:gridCol w:w="1724"/>
        <w:gridCol w:w="1697"/>
      </w:tblGrid>
      <w:tr w:rsidR="00A437B9" w:rsidTr="00A437B9">
        <w:tc>
          <w:tcPr>
            <w:tcW w:w="4458" w:type="dxa"/>
          </w:tcPr>
          <w:p w:rsidR="00A437B9" w:rsidRDefault="00A437B9" w:rsidP="008046EC"/>
        </w:tc>
        <w:tc>
          <w:tcPr>
            <w:tcW w:w="5118" w:type="dxa"/>
            <w:gridSpan w:val="3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Check group decision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8046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 The IEP Meeting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Not implemented</w:t>
            </w:r>
          </w:p>
        </w:tc>
        <w:tc>
          <w:tcPr>
            <w:tcW w:w="1724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Needs Improvement</w:t>
            </w:r>
          </w:p>
        </w:tc>
        <w:tc>
          <w:tcPr>
            <w:tcW w:w="1697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Well</w:t>
            </w:r>
          </w:p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Implemented</w:t>
            </w:r>
          </w:p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purpose and process for the IEP meeting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 develop the IEP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 by state or local policy to do so at this point in the IEP process, summarize the information on the COSF and determine a rating for each outcome area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A437B9">
        <w:tc>
          <w:tcPr>
            <w:tcW w:w="4458" w:type="dxa"/>
          </w:tcPr>
          <w:p w:rsidR="00A437B9" w:rsidRDefault="00A437B9" w:rsidP="00A437B9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IEP at least annually</w:t>
            </w:r>
          </w:p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  <w:tc>
          <w:tcPr>
            <w:tcW w:w="1724" w:type="dxa"/>
          </w:tcPr>
          <w:p w:rsidR="00A437B9" w:rsidRDefault="00A437B9" w:rsidP="008046EC"/>
        </w:tc>
        <w:tc>
          <w:tcPr>
            <w:tcW w:w="1697" w:type="dxa"/>
          </w:tcPr>
          <w:p w:rsidR="00A437B9" w:rsidRDefault="00A437B9" w:rsidP="008046EC"/>
        </w:tc>
      </w:tr>
      <w:tr w:rsidR="00A437B9" w:rsidTr="008046EC">
        <w:tc>
          <w:tcPr>
            <w:tcW w:w="9576" w:type="dxa"/>
            <w:gridSpan w:val="4"/>
          </w:tcPr>
          <w:p w:rsidR="00A437B9" w:rsidRDefault="00A437B9" w:rsidP="008046EC">
            <w:r>
              <w:t xml:space="preserve">Barriers/Issues:  </w:t>
            </w:r>
          </w:p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</w:tc>
      </w:tr>
    </w:tbl>
    <w:p w:rsidR="00A437B9" w:rsidRDefault="00A437B9" w:rsidP="00A437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1697"/>
        <w:gridCol w:w="1724"/>
        <w:gridCol w:w="1697"/>
      </w:tblGrid>
      <w:tr w:rsidR="00A437B9" w:rsidTr="008046EC">
        <w:tc>
          <w:tcPr>
            <w:tcW w:w="5213" w:type="dxa"/>
          </w:tcPr>
          <w:p w:rsidR="00A437B9" w:rsidRDefault="00A437B9" w:rsidP="008046EC"/>
        </w:tc>
        <w:tc>
          <w:tcPr>
            <w:tcW w:w="4363" w:type="dxa"/>
            <w:gridSpan w:val="3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Check group decision</w:t>
            </w:r>
          </w:p>
        </w:tc>
      </w:tr>
      <w:tr w:rsidR="00A437B9" w:rsidTr="008046EC">
        <w:tc>
          <w:tcPr>
            <w:tcW w:w="5213" w:type="dxa"/>
          </w:tcPr>
          <w:p w:rsidR="00A437B9" w:rsidRDefault="00A437B9" w:rsidP="008046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 Ongoing Intervention and Progress Monitoring</w:t>
            </w:r>
          </w:p>
          <w:p w:rsidR="00A437B9" w:rsidRDefault="00A437B9" w:rsidP="008046EC"/>
        </w:tc>
        <w:tc>
          <w:tcPr>
            <w:tcW w:w="1445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Not implemented</w:t>
            </w:r>
          </w:p>
        </w:tc>
        <w:tc>
          <w:tcPr>
            <w:tcW w:w="1468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Needs Improvement</w:t>
            </w:r>
          </w:p>
        </w:tc>
        <w:tc>
          <w:tcPr>
            <w:tcW w:w="1450" w:type="dxa"/>
          </w:tcPr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Well</w:t>
            </w:r>
          </w:p>
          <w:p w:rsidR="00A437B9" w:rsidRPr="005A3943" w:rsidRDefault="00A437B9" w:rsidP="008046EC">
            <w:pPr>
              <w:jc w:val="center"/>
              <w:rPr>
                <w:b/>
              </w:rPr>
            </w:pPr>
            <w:r w:rsidRPr="005A3943">
              <w:rPr>
                <w:b/>
              </w:rPr>
              <w:t>Implemented</w:t>
            </w:r>
          </w:p>
        </w:tc>
      </w:tr>
      <w:tr w:rsidR="00A437B9" w:rsidTr="008046EC">
        <w:tc>
          <w:tcPr>
            <w:tcW w:w="5213" w:type="dxa"/>
          </w:tcPr>
          <w:p w:rsidR="00A437B9" w:rsidRDefault="00A437B9" w:rsidP="00A437B9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initial and ongoing assessment data</w:t>
            </w:r>
          </w:p>
          <w:p w:rsidR="00A437B9" w:rsidRDefault="00A437B9" w:rsidP="008046EC"/>
        </w:tc>
        <w:tc>
          <w:tcPr>
            <w:tcW w:w="1445" w:type="dxa"/>
          </w:tcPr>
          <w:p w:rsidR="00A437B9" w:rsidRDefault="00A437B9" w:rsidP="008046EC"/>
        </w:tc>
        <w:tc>
          <w:tcPr>
            <w:tcW w:w="1468" w:type="dxa"/>
          </w:tcPr>
          <w:p w:rsidR="00A437B9" w:rsidRDefault="00A437B9" w:rsidP="008046EC"/>
        </w:tc>
        <w:tc>
          <w:tcPr>
            <w:tcW w:w="1450" w:type="dxa"/>
          </w:tcPr>
          <w:p w:rsidR="00A437B9" w:rsidRDefault="00A437B9" w:rsidP="008046EC"/>
        </w:tc>
      </w:tr>
      <w:tr w:rsidR="00A437B9" w:rsidTr="008046EC">
        <w:tc>
          <w:tcPr>
            <w:tcW w:w="5213" w:type="dxa"/>
          </w:tcPr>
          <w:p w:rsidR="00A437B9" w:rsidRDefault="00A437B9" w:rsidP="00A437B9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child engagement, learning and independence in everyday activities, routines and transitions</w:t>
            </w:r>
          </w:p>
          <w:p w:rsidR="00A437B9" w:rsidRDefault="00A437B9" w:rsidP="008046EC"/>
        </w:tc>
        <w:tc>
          <w:tcPr>
            <w:tcW w:w="1445" w:type="dxa"/>
          </w:tcPr>
          <w:p w:rsidR="00A437B9" w:rsidRDefault="00A437B9" w:rsidP="008046EC"/>
        </w:tc>
        <w:tc>
          <w:tcPr>
            <w:tcW w:w="1468" w:type="dxa"/>
          </w:tcPr>
          <w:p w:rsidR="00A437B9" w:rsidRDefault="00A437B9" w:rsidP="008046EC"/>
        </w:tc>
        <w:tc>
          <w:tcPr>
            <w:tcW w:w="1450" w:type="dxa"/>
          </w:tcPr>
          <w:p w:rsidR="00A437B9" w:rsidRDefault="00A437B9" w:rsidP="008046EC"/>
        </w:tc>
      </w:tr>
      <w:tr w:rsidR="00A437B9" w:rsidTr="008046EC">
        <w:tc>
          <w:tcPr>
            <w:tcW w:w="5213" w:type="dxa"/>
          </w:tcPr>
          <w:p w:rsidR="00A437B9" w:rsidRDefault="00A437B9" w:rsidP="00A437B9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children’s progress toward goals</w:t>
            </w:r>
          </w:p>
          <w:p w:rsidR="00A437B9" w:rsidRDefault="00A437B9" w:rsidP="008046EC"/>
        </w:tc>
        <w:tc>
          <w:tcPr>
            <w:tcW w:w="1445" w:type="dxa"/>
          </w:tcPr>
          <w:p w:rsidR="00A437B9" w:rsidRDefault="00A437B9" w:rsidP="008046EC"/>
        </w:tc>
        <w:tc>
          <w:tcPr>
            <w:tcW w:w="1468" w:type="dxa"/>
          </w:tcPr>
          <w:p w:rsidR="00A437B9" w:rsidRDefault="00A437B9" w:rsidP="008046EC"/>
        </w:tc>
        <w:tc>
          <w:tcPr>
            <w:tcW w:w="1450" w:type="dxa"/>
          </w:tcPr>
          <w:p w:rsidR="00A437B9" w:rsidRDefault="00A437B9" w:rsidP="008046EC"/>
        </w:tc>
      </w:tr>
      <w:tr w:rsidR="00A437B9" w:rsidTr="008046EC">
        <w:tc>
          <w:tcPr>
            <w:tcW w:w="9576" w:type="dxa"/>
            <w:gridSpan w:val="4"/>
          </w:tcPr>
          <w:p w:rsidR="00A437B9" w:rsidRDefault="00A437B9" w:rsidP="008046EC">
            <w:r>
              <w:t xml:space="preserve">Barriers/Issues:  </w:t>
            </w:r>
          </w:p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  <w:p w:rsidR="00A437B9" w:rsidRDefault="00A437B9" w:rsidP="008046EC"/>
        </w:tc>
      </w:tr>
    </w:tbl>
    <w:p w:rsidR="00A437B9" w:rsidRDefault="00A437B9" w:rsidP="00A437B9"/>
    <w:tbl>
      <w:tblPr>
        <w:tblW w:w="1019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437B9" w:rsidTr="008046EC">
        <w:trPr>
          <w:trHeight w:val="99"/>
        </w:trPr>
        <w:tc>
          <w:tcPr>
            <w:tcW w:w="10195" w:type="dxa"/>
          </w:tcPr>
          <w:p w:rsidR="00A437B9" w:rsidRDefault="00A437B9" w:rsidP="008046EC">
            <w:pPr>
              <w:pStyle w:val="Default"/>
              <w:rPr>
                <w:sz w:val="20"/>
                <w:szCs w:val="20"/>
              </w:rPr>
            </w:pPr>
          </w:p>
        </w:tc>
      </w:tr>
      <w:tr w:rsidR="00A437B9" w:rsidTr="008046EC">
        <w:trPr>
          <w:trHeight w:val="222"/>
        </w:trPr>
        <w:tc>
          <w:tcPr>
            <w:tcW w:w="10195" w:type="dxa"/>
          </w:tcPr>
          <w:p w:rsidR="00A437B9" w:rsidRDefault="00A437B9" w:rsidP="008046EC">
            <w:pPr>
              <w:pStyle w:val="Default"/>
              <w:rPr>
                <w:rFonts w:cstheme="minorBidi"/>
                <w:color w:val="auto"/>
              </w:rPr>
            </w:pPr>
          </w:p>
          <w:p w:rsidR="00A437B9" w:rsidRDefault="00A437B9" w:rsidP="008046E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37B9" w:rsidRDefault="00A437B9" w:rsidP="00A437B9"/>
    <w:p w:rsidR="00E6581C" w:rsidRPr="00B07F22" w:rsidRDefault="00E6581C" w:rsidP="00B07F22"/>
    <w:sectPr w:rsidR="00E6581C" w:rsidRPr="00B07F22" w:rsidSect="006C0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0" w:rsidRDefault="007045C0" w:rsidP="009D06B7">
      <w:r>
        <w:separator/>
      </w:r>
    </w:p>
  </w:endnote>
  <w:endnote w:type="continuationSeparator" w:id="0">
    <w:p w:rsidR="007045C0" w:rsidRDefault="007045C0" w:rsidP="009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1" w:rsidRPr="00485551" w:rsidRDefault="00212142" w:rsidP="00485551">
    <w:pPr>
      <w:pStyle w:val="Header"/>
      <w:rPr>
        <w:b/>
        <w:color w:val="7030A0"/>
        <w:sz w:val="22"/>
      </w:rPr>
    </w:pPr>
    <w:r>
      <w:rPr>
        <w:rFonts w:ascii="Cambria" w:hAnsi="Cambria"/>
        <w:b/>
        <w:noProof/>
        <w:color w:val="7030A0"/>
        <w:sz w:val="22"/>
      </w:rPr>
      <w:drawing>
        <wp:inline distT="0" distB="0" distL="0" distR="0">
          <wp:extent cx="714375" cy="695325"/>
          <wp:effectExtent l="0" t="0" r="9525" b="9525"/>
          <wp:docPr id="3" name="Picture 1" descr="eco_round_logo_w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round_logo_w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551">
      <w:rPr>
        <w:rFonts w:ascii="Cambria" w:hAnsi="Cambria"/>
        <w:b/>
        <w:color w:val="7030A0"/>
        <w:sz w:val="22"/>
      </w:rPr>
      <w:t xml:space="preserve">      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551" w:rsidRPr="00485551">
      <w:rPr>
        <w:rFonts w:ascii="Cambria" w:hAnsi="Cambria"/>
        <w:b/>
        <w:color w:val="7030A0"/>
        <w:sz w:val="22"/>
      </w:rPr>
      <w:t>The Early Childhood Outcomes Center</w:t>
    </w:r>
    <w:r w:rsidR="00485551">
      <w:rPr>
        <w:b/>
        <w:noProof/>
        <w:color w:val="7030A0"/>
        <w:sz w:val="22"/>
      </w:rPr>
      <w:t xml:space="preserve">      </w:t>
    </w:r>
    <w:r w:rsidR="00485551" w:rsidRPr="00485551">
      <w:rPr>
        <w:b/>
        <w:noProof/>
        <w:color w:val="7030A0"/>
        <w:sz w:val="22"/>
      </w:rPr>
      <w:t xml:space="preserve">                            </w:t>
    </w:r>
    <w:r w:rsidR="006C09F7">
      <w:rPr>
        <w:b/>
        <w:noProof/>
        <w:color w:val="7030A0"/>
        <w:sz w:val="22"/>
      </w:rPr>
      <w:t xml:space="preserve">                  </w:t>
    </w:r>
    <w:r>
      <w:rPr>
        <w:b/>
        <w:noProof/>
        <w:color w:val="7030A0"/>
        <w:sz w:val="22"/>
      </w:rPr>
      <w:t>March 2011</w:t>
    </w:r>
  </w:p>
  <w:p w:rsidR="00485551" w:rsidRDefault="00485551">
    <w:pPr>
      <w:pStyle w:val="Footer"/>
    </w:pPr>
  </w:p>
  <w:p w:rsidR="009D06B7" w:rsidRDefault="009D0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0" w:rsidRDefault="007045C0" w:rsidP="009D06B7">
      <w:r>
        <w:separator/>
      </w:r>
    </w:p>
  </w:footnote>
  <w:footnote w:type="continuationSeparator" w:id="0">
    <w:p w:rsidR="007045C0" w:rsidRDefault="007045C0" w:rsidP="009D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9B" w:rsidRPr="00212142" w:rsidRDefault="00212142" w:rsidP="00E3309B">
    <w:pPr>
      <w:pStyle w:val="Header"/>
      <w:jc w:val="right"/>
      <w:rPr>
        <w:sz w:val="20"/>
      </w:rPr>
    </w:pPr>
    <w:r w:rsidRPr="00212142">
      <w:rPr>
        <w:sz w:val="20"/>
      </w:rPr>
      <w:t>Integrating Child Outcomes Measurement into the IEP Process, Austin TX, March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A126C"/>
    <w:multiLevelType w:val="hybridMultilevel"/>
    <w:tmpl w:val="E2A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1DA0"/>
    <w:multiLevelType w:val="hybridMultilevel"/>
    <w:tmpl w:val="411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DCF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67F9"/>
    <w:multiLevelType w:val="hybridMultilevel"/>
    <w:tmpl w:val="FF5AA55E"/>
    <w:lvl w:ilvl="0" w:tplc="8E6E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81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43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4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4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2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00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8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17AC0"/>
    <w:multiLevelType w:val="hybridMultilevel"/>
    <w:tmpl w:val="666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1501"/>
    <w:multiLevelType w:val="hybridMultilevel"/>
    <w:tmpl w:val="F33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465B0"/>
    <w:multiLevelType w:val="hybridMultilevel"/>
    <w:tmpl w:val="C75EE022"/>
    <w:lvl w:ilvl="0" w:tplc="1690D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8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3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E0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A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60CB6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7776"/>
    <w:multiLevelType w:val="hybridMultilevel"/>
    <w:tmpl w:val="84948E44"/>
    <w:lvl w:ilvl="0" w:tplc="386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C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41152D7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7010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C46CA"/>
    <w:multiLevelType w:val="hybridMultilevel"/>
    <w:tmpl w:val="F93E4E26"/>
    <w:lvl w:ilvl="0" w:tplc="73D2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D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C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0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23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F"/>
    <w:rsid w:val="000530AA"/>
    <w:rsid w:val="000C664C"/>
    <w:rsid w:val="001B0857"/>
    <w:rsid w:val="00212142"/>
    <w:rsid w:val="003C2A87"/>
    <w:rsid w:val="00485551"/>
    <w:rsid w:val="004F7437"/>
    <w:rsid w:val="005C18EF"/>
    <w:rsid w:val="005F2102"/>
    <w:rsid w:val="006535E9"/>
    <w:rsid w:val="006A3019"/>
    <w:rsid w:val="006C09F7"/>
    <w:rsid w:val="007045C0"/>
    <w:rsid w:val="00706C5D"/>
    <w:rsid w:val="00794594"/>
    <w:rsid w:val="008A34FD"/>
    <w:rsid w:val="009D06B7"/>
    <w:rsid w:val="00A437B9"/>
    <w:rsid w:val="00A84307"/>
    <w:rsid w:val="00AE6CD5"/>
    <w:rsid w:val="00B07F22"/>
    <w:rsid w:val="00B845B2"/>
    <w:rsid w:val="00BA0194"/>
    <w:rsid w:val="00C2789A"/>
    <w:rsid w:val="00CE15AC"/>
    <w:rsid w:val="00D84C35"/>
    <w:rsid w:val="00E3309B"/>
    <w:rsid w:val="00E6581C"/>
    <w:rsid w:val="00E94B3B"/>
    <w:rsid w:val="00F330A4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</dc:creator>
  <cp:lastModifiedBy>Christine Wagner</cp:lastModifiedBy>
  <cp:revision>2</cp:revision>
  <cp:lastPrinted>2013-09-16T17:50:00Z</cp:lastPrinted>
  <dcterms:created xsi:type="dcterms:W3CDTF">2013-09-16T18:36:00Z</dcterms:created>
  <dcterms:modified xsi:type="dcterms:W3CDTF">2013-09-16T18:36:00Z</dcterms:modified>
</cp:coreProperties>
</file>