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3A" w:rsidRDefault="00D17A3A"/>
    <w:p w:rsidR="00D17A3A" w:rsidRDefault="00D17A3A">
      <w:r w:rsidRPr="00D17A3A">
        <w:rPr>
          <w:noProof/>
        </w:rPr>
        <w:drawing>
          <wp:inline distT="0" distB="0" distL="0" distR="0">
            <wp:extent cx="8067675" cy="4733925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17A3A" w:rsidSect="0083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7B" w:rsidRDefault="0022097B" w:rsidP="0022097B">
      <w:pPr>
        <w:spacing w:after="0" w:line="240" w:lineRule="auto"/>
      </w:pPr>
      <w:r>
        <w:separator/>
      </w:r>
    </w:p>
  </w:endnote>
  <w:endnote w:type="continuationSeparator" w:id="0">
    <w:p w:rsidR="0022097B" w:rsidRDefault="0022097B" w:rsidP="0022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7B" w:rsidRDefault="002209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7B" w:rsidRDefault="0022097B" w:rsidP="005A67CD">
    <w:pPr>
      <w:pStyle w:val="Footer"/>
    </w:pPr>
    <w:r>
      <w:rPr>
        <w:noProof/>
      </w:rPr>
      <w:drawing>
        <wp:inline distT="0" distB="0" distL="0" distR="0">
          <wp:extent cx="733955" cy="723900"/>
          <wp:effectExtent l="19050" t="0" r="8995" b="0"/>
          <wp:docPr id="1" name="Picture 0" descr="ECO8_NoTxt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8_NoTxt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343" cy="728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67CD" w:rsidRPr="005A67CD">
      <w:t xml:space="preserve"> </w:t>
    </w:r>
    <w:r w:rsidR="005A67CD">
      <w:tab/>
    </w:r>
    <w:r w:rsidR="005A67CD">
      <w:tab/>
    </w:r>
    <w:r w:rsidR="005A67CD">
      <w:tab/>
    </w:r>
    <w:r w:rsidR="005A67CD">
      <w:tab/>
    </w:r>
    <w:r w:rsidR="005A67CD">
      <w:tab/>
      <w:t>May 17, 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7B" w:rsidRDefault="002209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7B" w:rsidRDefault="0022097B" w:rsidP="0022097B">
      <w:pPr>
        <w:spacing w:after="0" w:line="240" w:lineRule="auto"/>
      </w:pPr>
      <w:r>
        <w:separator/>
      </w:r>
    </w:p>
  </w:footnote>
  <w:footnote w:type="continuationSeparator" w:id="0">
    <w:p w:rsidR="0022097B" w:rsidRDefault="0022097B" w:rsidP="0022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7B" w:rsidRDefault="002209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7B" w:rsidRDefault="0022097B" w:rsidP="0022097B">
    <w:pPr>
      <w:pStyle w:val="Header"/>
      <w:jc w:val="right"/>
    </w:pPr>
    <w:r>
      <w:tab/>
    </w:r>
    <w:r>
      <w:tab/>
      <w:t>DAY 1—HANDOUT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7B" w:rsidRDefault="002209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8310CA"/>
    <w:rsid w:val="00121144"/>
    <w:rsid w:val="00204445"/>
    <w:rsid w:val="0022097B"/>
    <w:rsid w:val="004F1EDF"/>
    <w:rsid w:val="004F79A4"/>
    <w:rsid w:val="005A67CD"/>
    <w:rsid w:val="00827E3C"/>
    <w:rsid w:val="008310CA"/>
    <w:rsid w:val="00C84704"/>
    <w:rsid w:val="00D17A3A"/>
    <w:rsid w:val="00DB5638"/>
    <w:rsid w:val="00EE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97B"/>
  </w:style>
  <w:style w:type="paragraph" w:styleId="Footer">
    <w:name w:val="footer"/>
    <w:basedOn w:val="Normal"/>
    <w:link w:val="FooterChar"/>
    <w:uiPriority w:val="99"/>
    <w:semiHidden/>
    <w:unhideWhenUsed/>
    <w:rsid w:val="0022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hebbeler\My%20Documents\Projects\EC%20Outcomes%20Center\Presentation\Developmental%20Trajectori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Developmental</a:t>
            </a:r>
            <a:r>
              <a:rPr lang="en-US" baseline="0"/>
              <a:t> Trajectories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8.8950534075802556E-2"/>
          <c:y val="0.11288412892050466"/>
          <c:w val="0.5816358492378535"/>
          <c:h val="0.72998410409966352"/>
        </c:manualLayout>
      </c:layout>
      <c:lineChart>
        <c:grouping val="standard"/>
        <c:ser>
          <c:idx val="0"/>
          <c:order val="0"/>
          <c:tx>
            <c:strRef>
              <c:f>Sheet1!$B$4</c:f>
              <c:strCache>
                <c:ptCount val="1"/>
                <c:pt idx="0">
                  <c:v>Functioning like same aged peers</c:v>
                </c:pt>
              </c:strCache>
            </c:strRef>
          </c:tx>
          <c:marker>
            <c:symbol val="none"/>
          </c:marker>
          <c:val>
            <c:numRef>
              <c:f>Sheet1!$B$5:$B$16</c:f>
              <c:numCache>
                <c:formatCode>General</c:formatCode>
                <c:ptCount val="12"/>
                <c:pt idx="0">
                  <c:v>0</c:v>
                </c:pt>
                <c:pt idx="1">
                  <c:v>6</c:v>
                </c:pt>
                <c:pt idx="2">
                  <c:v>12</c:v>
                </c:pt>
                <c:pt idx="3">
                  <c:v>18</c:v>
                </c:pt>
                <c:pt idx="4">
                  <c:v>24</c:v>
                </c:pt>
                <c:pt idx="5">
                  <c:v>30</c:v>
                </c:pt>
                <c:pt idx="6">
                  <c:v>36</c:v>
                </c:pt>
                <c:pt idx="7">
                  <c:v>42</c:v>
                </c:pt>
                <c:pt idx="8">
                  <c:v>48</c:v>
                </c:pt>
                <c:pt idx="9">
                  <c:v>54</c:v>
                </c:pt>
                <c:pt idx="10">
                  <c:v>60</c:v>
                </c:pt>
                <c:pt idx="11">
                  <c:v>66</c:v>
                </c:pt>
              </c:numCache>
            </c:numRef>
          </c:val>
        </c:ser>
        <c:ser>
          <c:idx val="1"/>
          <c:order val="1"/>
          <c:tx>
            <c:strRef>
              <c:f>Sheet1!$C$4</c:f>
              <c:strCache>
                <c:ptCount val="1"/>
                <c:pt idx="0">
                  <c:v>Improved functioning to that of same aged peers</c:v>
                </c:pt>
              </c:strCache>
            </c:strRef>
          </c:tx>
          <c:marker>
            <c:symbol val="none"/>
          </c:marker>
          <c:cat>
            <c:numRef>
              <c:f>Sheet1!$A$5:$A$16</c:f>
              <c:numCache>
                <c:formatCode>General</c:formatCode>
                <c:ptCount val="12"/>
                <c:pt idx="0">
                  <c:v>0</c:v>
                </c:pt>
                <c:pt idx="1">
                  <c:v>6</c:v>
                </c:pt>
                <c:pt idx="2">
                  <c:v>12</c:v>
                </c:pt>
                <c:pt idx="3">
                  <c:v>18</c:v>
                </c:pt>
                <c:pt idx="4">
                  <c:v>24</c:v>
                </c:pt>
                <c:pt idx="5">
                  <c:v>30</c:v>
                </c:pt>
                <c:pt idx="6">
                  <c:v>36</c:v>
                </c:pt>
                <c:pt idx="7">
                  <c:v>42</c:v>
                </c:pt>
                <c:pt idx="8">
                  <c:v>48</c:v>
                </c:pt>
                <c:pt idx="9">
                  <c:v>54</c:v>
                </c:pt>
                <c:pt idx="10">
                  <c:v>60</c:v>
                </c:pt>
                <c:pt idx="11">
                  <c:v>66</c:v>
                </c:pt>
              </c:numCache>
            </c:numRef>
          </c:cat>
          <c:val>
            <c:numRef>
              <c:f>Sheet1!$C$5:$C$16</c:f>
              <c:numCache>
                <c:formatCode>General</c:formatCode>
                <c:ptCount val="12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18</c:v>
                </c:pt>
                <c:pt idx="5">
                  <c:v>24</c:v>
                </c:pt>
                <c:pt idx="6">
                  <c:v>30</c:v>
                </c:pt>
                <c:pt idx="7">
                  <c:v>37</c:v>
                </c:pt>
                <c:pt idx="8">
                  <c:v>44</c:v>
                </c:pt>
                <c:pt idx="9">
                  <c:v>54</c:v>
                </c:pt>
                <c:pt idx="10">
                  <c:v>60</c:v>
                </c:pt>
                <c:pt idx="11">
                  <c:v>66</c:v>
                </c:pt>
              </c:numCache>
            </c:numRef>
          </c:val>
        </c:ser>
        <c:ser>
          <c:idx val="2"/>
          <c:order val="2"/>
          <c:tx>
            <c:strRef>
              <c:f>Sheet1!$D$4</c:f>
              <c:strCache>
                <c:ptCount val="1"/>
                <c:pt idx="0">
                  <c:v>Moved closer to functioning like same aged peers</c:v>
                </c:pt>
              </c:strCache>
            </c:strRef>
          </c:tx>
          <c:marker>
            <c:symbol val="none"/>
          </c:marker>
          <c:cat>
            <c:numRef>
              <c:f>Sheet1!$A$5:$A$16</c:f>
              <c:numCache>
                <c:formatCode>General</c:formatCode>
                <c:ptCount val="12"/>
                <c:pt idx="0">
                  <c:v>0</c:v>
                </c:pt>
                <c:pt idx="1">
                  <c:v>6</c:v>
                </c:pt>
                <c:pt idx="2">
                  <c:v>12</c:v>
                </c:pt>
                <c:pt idx="3">
                  <c:v>18</c:v>
                </c:pt>
                <c:pt idx="4">
                  <c:v>24</c:v>
                </c:pt>
                <c:pt idx="5">
                  <c:v>30</c:v>
                </c:pt>
                <c:pt idx="6">
                  <c:v>36</c:v>
                </c:pt>
                <c:pt idx="7">
                  <c:v>42</c:v>
                </c:pt>
                <c:pt idx="8">
                  <c:v>48</c:v>
                </c:pt>
                <c:pt idx="9">
                  <c:v>54</c:v>
                </c:pt>
                <c:pt idx="10">
                  <c:v>60</c:v>
                </c:pt>
                <c:pt idx="11">
                  <c:v>66</c:v>
                </c:pt>
              </c:numCache>
            </c:numRef>
          </c:cat>
          <c:val>
            <c:numRef>
              <c:f>Sheet1!$D$5:$D$16</c:f>
              <c:numCache>
                <c:formatCode>General</c:formatCode>
                <c:ptCount val="12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16</c:v>
                </c:pt>
                <c:pt idx="6">
                  <c:v>21</c:v>
                </c:pt>
                <c:pt idx="7">
                  <c:v>26</c:v>
                </c:pt>
                <c:pt idx="8">
                  <c:v>31</c:v>
                </c:pt>
                <c:pt idx="9">
                  <c:v>36</c:v>
                </c:pt>
                <c:pt idx="10">
                  <c:v>42</c:v>
                </c:pt>
                <c:pt idx="11">
                  <c:v>47</c:v>
                </c:pt>
              </c:numCache>
            </c:numRef>
          </c:val>
        </c:ser>
        <c:ser>
          <c:idx val="3"/>
          <c:order val="3"/>
          <c:tx>
            <c:strRef>
              <c:f>Sheet1!$E$4</c:f>
              <c:strCache>
                <c:ptCount val="1"/>
                <c:pt idx="0">
                  <c:v>Improved functioning, no change in trajectory</c:v>
                </c:pt>
              </c:strCache>
            </c:strRef>
          </c:tx>
          <c:marker>
            <c:symbol val="none"/>
          </c:marker>
          <c:cat>
            <c:numRef>
              <c:f>Sheet1!$A$5:$A$16</c:f>
              <c:numCache>
                <c:formatCode>General</c:formatCode>
                <c:ptCount val="12"/>
                <c:pt idx="0">
                  <c:v>0</c:v>
                </c:pt>
                <c:pt idx="1">
                  <c:v>6</c:v>
                </c:pt>
                <c:pt idx="2">
                  <c:v>12</c:v>
                </c:pt>
                <c:pt idx="3">
                  <c:v>18</c:v>
                </c:pt>
                <c:pt idx="4">
                  <c:v>24</c:v>
                </c:pt>
                <c:pt idx="5">
                  <c:v>30</c:v>
                </c:pt>
                <c:pt idx="6">
                  <c:v>36</c:v>
                </c:pt>
                <c:pt idx="7">
                  <c:v>42</c:v>
                </c:pt>
                <c:pt idx="8">
                  <c:v>48</c:v>
                </c:pt>
                <c:pt idx="9">
                  <c:v>54</c:v>
                </c:pt>
                <c:pt idx="10">
                  <c:v>60</c:v>
                </c:pt>
                <c:pt idx="11">
                  <c:v>66</c:v>
                </c:pt>
              </c:numCache>
            </c:numRef>
          </c:cat>
          <c:val>
            <c:numRef>
              <c:f>Sheet1!$E$5:$E$16</c:f>
              <c:numCache>
                <c:formatCode>General</c:formatCode>
                <c:ptCount val="12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  <c:pt idx="10">
                  <c:v>30</c:v>
                </c:pt>
                <c:pt idx="11">
                  <c:v>33</c:v>
                </c:pt>
              </c:numCache>
            </c:numRef>
          </c:val>
        </c:ser>
        <c:ser>
          <c:idx val="4"/>
          <c:order val="4"/>
          <c:tx>
            <c:strRef>
              <c:f>Sheet1!$F$4</c:f>
              <c:strCache>
                <c:ptCount val="1"/>
                <c:pt idx="0">
                  <c:v>Did not improve functioning</c:v>
                </c:pt>
              </c:strCache>
            </c:strRef>
          </c:tx>
          <c:marker>
            <c:symbol val="none"/>
          </c:marker>
          <c:cat>
            <c:numRef>
              <c:f>Sheet1!$A$5:$A$16</c:f>
              <c:numCache>
                <c:formatCode>General</c:formatCode>
                <c:ptCount val="12"/>
                <c:pt idx="0">
                  <c:v>0</c:v>
                </c:pt>
                <c:pt idx="1">
                  <c:v>6</c:v>
                </c:pt>
                <c:pt idx="2">
                  <c:v>12</c:v>
                </c:pt>
                <c:pt idx="3">
                  <c:v>18</c:v>
                </c:pt>
                <c:pt idx="4">
                  <c:v>24</c:v>
                </c:pt>
                <c:pt idx="5">
                  <c:v>30</c:v>
                </c:pt>
                <c:pt idx="6">
                  <c:v>36</c:v>
                </c:pt>
                <c:pt idx="7">
                  <c:v>42</c:v>
                </c:pt>
                <c:pt idx="8">
                  <c:v>48</c:v>
                </c:pt>
                <c:pt idx="9">
                  <c:v>54</c:v>
                </c:pt>
                <c:pt idx="10">
                  <c:v>60</c:v>
                </c:pt>
                <c:pt idx="11">
                  <c:v>66</c:v>
                </c:pt>
              </c:numCache>
            </c:numRef>
          </c:cat>
          <c:val>
            <c:numRef>
              <c:f>Sheet1!$F$5:$F$16</c:f>
              <c:numCache>
                <c:formatCode>General</c:formatCode>
                <c:ptCount val="12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</c:numCache>
            </c:numRef>
          </c:val>
        </c:ser>
        <c:marker val="1"/>
        <c:axId val="154875392"/>
        <c:axId val="154877312"/>
      </c:lineChart>
      <c:catAx>
        <c:axId val="1548753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aseline="0"/>
                </a:pPr>
                <a:r>
                  <a:rPr lang="en-US" sz="1400" baseline="0"/>
                  <a:t>Age in Months</a:t>
                </a:r>
              </a:p>
            </c:rich>
          </c:tx>
          <c:layout>
            <c:manualLayout>
              <c:xMode val="edge"/>
              <c:yMode val="edge"/>
              <c:x val="0.302365799316408"/>
              <c:y val="0.92850435949027499"/>
            </c:manualLayout>
          </c:layout>
        </c:title>
        <c:numFmt formatCode="General" sourceLinked="1"/>
        <c:majorTickMark val="none"/>
        <c:tickLblPos val="nextTo"/>
        <c:crossAx val="154877312"/>
        <c:crosses val="autoZero"/>
        <c:auto val="1"/>
        <c:lblAlgn val="ctr"/>
        <c:lblOffset val="100"/>
      </c:catAx>
      <c:valAx>
        <c:axId val="154877312"/>
        <c:scaling>
          <c:orientation val="minMax"/>
        </c:scaling>
        <c:axPos val="l"/>
        <c:majorGridlines>
          <c:spPr>
            <a:ln>
              <a:solidFill>
                <a:srgbClr val="4F81BD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200" baseline="0"/>
                </a:pPr>
                <a:r>
                  <a:rPr lang="en-US" sz="1400" baseline="0"/>
                  <a:t>Growth in Outcome</a:t>
                </a:r>
              </a:p>
            </c:rich>
          </c:tx>
          <c:layout/>
        </c:title>
        <c:numFmt formatCode="General" sourceLinked="0"/>
        <c:majorTickMark val="none"/>
        <c:tickLblPos val="nextTo"/>
        <c:crossAx val="154875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207005116096022"/>
          <c:y val="0.15095275062448185"/>
          <c:w val="0.25070444706808331"/>
          <c:h val="0.7570483267056406"/>
        </c:manualLayout>
      </c:layout>
      <c:txPr>
        <a:bodyPr/>
        <a:lstStyle/>
        <a:p>
          <a:pPr>
            <a:defRPr sz="1400" baseline="0"/>
          </a:pPr>
          <a:endParaRPr lang="en-US"/>
        </a:p>
      </c:txPr>
    </c:legend>
    <c:plotVisOnly val="1"/>
  </c:chart>
  <c:spPr>
    <a:ln>
      <a:solidFill>
        <a:schemeClr val="accent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SRI International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Hebbeler</dc:creator>
  <cp:keywords/>
  <dc:description/>
  <cp:lastModifiedBy>rooney</cp:lastModifiedBy>
  <cp:revision>4</cp:revision>
  <cp:lastPrinted>2010-05-15T00:29:00Z</cp:lastPrinted>
  <dcterms:created xsi:type="dcterms:W3CDTF">2010-05-17T18:09:00Z</dcterms:created>
  <dcterms:modified xsi:type="dcterms:W3CDTF">2010-05-17T18:12:00Z</dcterms:modified>
</cp:coreProperties>
</file>