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827" w:rsidRPr="00944827" w:rsidRDefault="00944827" w:rsidP="00944827">
      <w:pPr>
        <w:jc w:val="center"/>
        <w:rPr>
          <w:b/>
        </w:rPr>
      </w:pPr>
      <w:r w:rsidRPr="00944827">
        <w:rPr>
          <w:b/>
        </w:rPr>
        <w:t>Notes on Assessment Tools</w:t>
      </w:r>
    </w:p>
    <w:p w:rsidR="0033618F" w:rsidRDefault="00D92610" w:rsidP="00D92610">
      <w:pPr>
        <w:pStyle w:val="ListParagraph"/>
        <w:numPr>
          <w:ilvl w:val="0"/>
          <w:numId w:val="1"/>
        </w:numPr>
      </w:pPr>
      <w:r>
        <w:t>Comprehensive across settings/situations</w:t>
      </w:r>
    </w:p>
    <w:p w:rsidR="00D92610" w:rsidRDefault="00D92610" w:rsidP="00D92610">
      <w:pPr>
        <w:pStyle w:val="ListParagraph"/>
        <w:numPr>
          <w:ilvl w:val="0"/>
          <w:numId w:val="1"/>
        </w:numPr>
      </w:pPr>
      <w:r>
        <w:t>Sensitive to small increments of progress</w:t>
      </w:r>
    </w:p>
    <w:p w:rsidR="00D92610" w:rsidRDefault="00D92610" w:rsidP="00D92610">
      <w:pPr>
        <w:pStyle w:val="ListParagraph"/>
        <w:numPr>
          <w:ilvl w:val="1"/>
          <w:numId w:val="1"/>
        </w:numPr>
      </w:pPr>
      <w:r>
        <w:t>6 weeks</w:t>
      </w:r>
    </w:p>
    <w:p w:rsidR="00D92610" w:rsidRDefault="00D92610" w:rsidP="00D92610">
      <w:pPr>
        <w:pStyle w:val="ListParagraph"/>
        <w:numPr>
          <w:ilvl w:val="1"/>
          <w:numId w:val="1"/>
        </w:numPr>
      </w:pPr>
      <w:r>
        <w:t>3 x per year</w:t>
      </w:r>
    </w:p>
    <w:p w:rsidR="00D92610" w:rsidRDefault="00D92610" w:rsidP="00D92610">
      <w:pPr>
        <w:pStyle w:val="ListParagraph"/>
        <w:numPr>
          <w:ilvl w:val="0"/>
          <w:numId w:val="1"/>
        </w:numPr>
      </w:pPr>
      <w:r>
        <w:t>Easy to use</w:t>
      </w:r>
    </w:p>
    <w:p w:rsidR="00D92610" w:rsidRDefault="00D92610" w:rsidP="00D92610">
      <w:pPr>
        <w:pStyle w:val="ListParagraph"/>
        <w:numPr>
          <w:ilvl w:val="0"/>
          <w:numId w:val="1"/>
        </w:numPr>
      </w:pPr>
      <w:r>
        <w:t>Authentic Information</w:t>
      </w:r>
    </w:p>
    <w:p w:rsidR="00D92610" w:rsidRDefault="00D92610" w:rsidP="00D92610">
      <w:pPr>
        <w:pStyle w:val="ListParagraph"/>
        <w:numPr>
          <w:ilvl w:val="0"/>
          <w:numId w:val="1"/>
        </w:numPr>
      </w:pPr>
      <w:r>
        <w:t>Useful – Informs instruction</w:t>
      </w:r>
    </w:p>
    <w:p w:rsidR="00D92610" w:rsidRDefault="00D92610" w:rsidP="00D92610">
      <w:pPr>
        <w:pStyle w:val="ListParagraph"/>
        <w:numPr>
          <w:ilvl w:val="0"/>
          <w:numId w:val="1"/>
        </w:numPr>
      </w:pPr>
      <w:r>
        <w:t>Culturally sensitive</w:t>
      </w:r>
    </w:p>
    <w:p w:rsidR="00D92610" w:rsidRDefault="00D92610" w:rsidP="00D92610">
      <w:pPr>
        <w:pStyle w:val="ListParagraph"/>
        <w:numPr>
          <w:ilvl w:val="0"/>
          <w:numId w:val="1"/>
        </w:numPr>
      </w:pPr>
      <w:r>
        <w:t>Developmentally appropriate</w:t>
      </w:r>
    </w:p>
    <w:p w:rsidR="00D92610" w:rsidRDefault="00D92610" w:rsidP="00D92610">
      <w:pPr>
        <w:pStyle w:val="ListParagraph"/>
        <w:numPr>
          <w:ilvl w:val="0"/>
          <w:numId w:val="1"/>
        </w:numPr>
      </w:pPr>
      <w:r>
        <w:t>0 – 5 with strong/sensitive 3  - 5 items</w:t>
      </w:r>
    </w:p>
    <w:p w:rsidR="00D92610" w:rsidRDefault="00D92610" w:rsidP="00D92610">
      <w:pPr>
        <w:pStyle w:val="ListParagraph"/>
        <w:numPr>
          <w:ilvl w:val="0"/>
          <w:numId w:val="1"/>
        </w:numPr>
      </w:pPr>
      <w:r>
        <w:t>Link between the content of the instrument and the purposes of the assessment</w:t>
      </w:r>
    </w:p>
    <w:tbl>
      <w:tblPr>
        <w:tblStyle w:val="TableGrid"/>
        <w:tblW w:w="0" w:type="auto"/>
        <w:tblLook w:val="04A0"/>
      </w:tblPr>
      <w:tblGrid>
        <w:gridCol w:w="2394"/>
        <w:gridCol w:w="2394"/>
        <w:gridCol w:w="2394"/>
        <w:gridCol w:w="2394"/>
      </w:tblGrid>
      <w:tr w:rsidR="00FB6CCD" w:rsidRPr="00944827" w:rsidTr="00FB6CCD">
        <w:tc>
          <w:tcPr>
            <w:tcW w:w="2394" w:type="dxa"/>
          </w:tcPr>
          <w:p w:rsidR="00FB6CCD" w:rsidRPr="00944827" w:rsidRDefault="00FB6CCD" w:rsidP="00944827">
            <w:pPr>
              <w:jc w:val="center"/>
              <w:rPr>
                <w:b/>
              </w:rPr>
            </w:pPr>
            <w:r w:rsidRPr="00944827">
              <w:rPr>
                <w:b/>
              </w:rPr>
              <w:t>Tool</w:t>
            </w:r>
          </w:p>
        </w:tc>
        <w:tc>
          <w:tcPr>
            <w:tcW w:w="2394" w:type="dxa"/>
          </w:tcPr>
          <w:p w:rsidR="00FB6CCD" w:rsidRPr="00944827" w:rsidRDefault="0049221A" w:rsidP="00944827">
            <w:pPr>
              <w:jc w:val="center"/>
              <w:rPr>
                <w:b/>
              </w:rPr>
            </w:pPr>
            <w:r w:rsidRPr="00944827">
              <w:rPr>
                <w:b/>
              </w:rPr>
              <w:t>Strengths</w:t>
            </w:r>
          </w:p>
        </w:tc>
        <w:tc>
          <w:tcPr>
            <w:tcW w:w="2394" w:type="dxa"/>
          </w:tcPr>
          <w:p w:rsidR="00FB6CCD" w:rsidRPr="00944827" w:rsidRDefault="0049221A" w:rsidP="00944827">
            <w:pPr>
              <w:jc w:val="center"/>
              <w:rPr>
                <w:b/>
              </w:rPr>
            </w:pPr>
            <w:r w:rsidRPr="00944827">
              <w:rPr>
                <w:b/>
              </w:rPr>
              <w:t>Weaknesses</w:t>
            </w:r>
          </w:p>
        </w:tc>
        <w:tc>
          <w:tcPr>
            <w:tcW w:w="2394" w:type="dxa"/>
          </w:tcPr>
          <w:p w:rsidR="00A160C1" w:rsidRPr="00944827" w:rsidRDefault="00A160C1" w:rsidP="00944827">
            <w:pPr>
              <w:jc w:val="center"/>
              <w:rPr>
                <w:b/>
              </w:rPr>
            </w:pPr>
            <w:r w:rsidRPr="00944827">
              <w:rPr>
                <w:b/>
              </w:rPr>
              <w:t>Questions/Comments</w:t>
            </w:r>
          </w:p>
          <w:p w:rsidR="00FB6CCD" w:rsidRPr="00944827" w:rsidRDefault="0049221A" w:rsidP="00944827">
            <w:pPr>
              <w:jc w:val="center"/>
              <w:rPr>
                <w:b/>
              </w:rPr>
            </w:pPr>
            <w:r w:rsidRPr="00944827">
              <w:rPr>
                <w:b/>
              </w:rPr>
              <w:t>Other</w:t>
            </w:r>
          </w:p>
        </w:tc>
      </w:tr>
      <w:tr w:rsidR="00FB6CCD" w:rsidTr="00FB6CCD">
        <w:tc>
          <w:tcPr>
            <w:tcW w:w="2394" w:type="dxa"/>
          </w:tcPr>
          <w:p w:rsidR="00FB6CCD" w:rsidRDefault="0049221A" w:rsidP="00FB6CCD">
            <w:r>
              <w:t>LAP/ELAP</w:t>
            </w:r>
          </w:p>
        </w:tc>
        <w:tc>
          <w:tcPr>
            <w:tcW w:w="2394" w:type="dxa"/>
          </w:tcPr>
          <w:p w:rsidR="00FB6CCD" w:rsidRDefault="0049221A" w:rsidP="00FB6CCD">
            <w:r>
              <w:t>Cross walked</w:t>
            </w:r>
          </w:p>
          <w:p w:rsidR="0049221A" w:rsidRDefault="0049221A" w:rsidP="00FB6CCD">
            <w:r>
              <w:t xml:space="preserve">Items in each outcome </w:t>
            </w:r>
            <w:proofErr w:type="spellStart"/>
            <w:r>
              <w:t>Outcome</w:t>
            </w:r>
            <w:proofErr w:type="spellEnd"/>
            <w:r>
              <w:t xml:space="preserve"> 2 is more comprehensive</w:t>
            </w:r>
          </w:p>
          <w:p w:rsidR="0049221A" w:rsidRDefault="0049221A" w:rsidP="00FB6CCD">
            <w:r>
              <w:t>Fairly comprehensive</w:t>
            </w:r>
          </w:p>
          <w:p w:rsidR="0049221A" w:rsidRDefault="006E170C" w:rsidP="00FB6CCD">
            <w:r>
              <w:t>The LAP 3 goes back to 12 – 17 months in  areas</w:t>
            </w:r>
          </w:p>
          <w:p w:rsidR="006E170C" w:rsidRDefault="006E170C" w:rsidP="00FB6CCD">
            <w:r>
              <w:t xml:space="preserve">Provides guidelines based on primary disability. </w:t>
            </w:r>
          </w:p>
          <w:p w:rsidR="006E170C" w:rsidRDefault="006E170C" w:rsidP="00FB6CCD">
            <w:r>
              <w:t>You don’t have to purchase the toys for the kit</w:t>
            </w:r>
          </w:p>
          <w:p w:rsidR="006E170C" w:rsidRDefault="006E170C" w:rsidP="00FB6CCD">
            <w:r>
              <w:t>The manual is comprehensive</w:t>
            </w:r>
          </w:p>
          <w:p w:rsidR="006E170C" w:rsidRDefault="006E170C" w:rsidP="00FB6CCD">
            <w:r>
              <w:t>It is a combination of observation and structured probes</w:t>
            </w:r>
          </w:p>
          <w:p w:rsidR="006E170C" w:rsidRDefault="006E170C" w:rsidP="00FB6CCD">
            <w:r>
              <w:t>Meets Head Start requirements</w:t>
            </w:r>
          </w:p>
        </w:tc>
        <w:tc>
          <w:tcPr>
            <w:tcW w:w="2394" w:type="dxa"/>
          </w:tcPr>
          <w:p w:rsidR="00FB6CCD" w:rsidRDefault="006E170C" w:rsidP="00FB6CCD">
            <w:r>
              <w:t>If you need to go lower than 12  17 months you need the ELAP</w:t>
            </w:r>
          </w:p>
          <w:p w:rsidR="006E170C" w:rsidRDefault="006E170C" w:rsidP="00FB6CCD">
            <w:r>
              <w:t>You need 2 kits to go 0 – 6</w:t>
            </w:r>
          </w:p>
          <w:p w:rsidR="006E170C" w:rsidRDefault="006E170C" w:rsidP="00FB6CCD">
            <w:r>
              <w:t>Training and practice is required to organize the materials</w:t>
            </w:r>
          </w:p>
          <w:p w:rsidR="006E170C" w:rsidRDefault="006E170C" w:rsidP="00FB6CCD">
            <w:r>
              <w:t>Time consuming</w:t>
            </w:r>
          </w:p>
          <w:p w:rsidR="006E170C" w:rsidRDefault="00415056" w:rsidP="00FB6CCD">
            <w:r>
              <w:t xml:space="preserve">There are some key skills that teachers need to use the instrument. </w:t>
            </w:r>
          </w:p>
          <w:p w:rsidR="000E34E4" w:rsidRDefault="00571A8A" w:rsidP="00FB6CCD">
            <w:r>
              <w:t xml:space="preserve">Does not meet universal design criteria. </w:t>
            </w:r>
          </w:p>
        </w:tc>
        <w:tc>
          <w:tcPr>
            <w:tcW w:w="2394" w:type="dxa"/>
          </w:tcPr>
          <w:p w:rsidR="00FB6CCD" w:rsidRDefault="00A160C1" w:rsidP="00FB6CCD">
            <w:r>
              <w:t>2 large districts use this tool in region 13</w:t>
            </w:r>
          </w:p>
        </w:tc>
      </w:tr>
      <w:tr w:rsidR="00FB6CCD" w:rsidTr="00FB6CCD">
        <w:tc>
          <w:tcPr>
            <w:tcW w:w="2394" w:type="dxa"/>
          </w:tcPr>
          <w:p w:rsidR="00FB6CCD" w:rsidRDefault="001A5AA5" w:rsidP="00FB6CCD">
            <w:r>
              <w:t xml:space="preserve">ASQ – you give an age defined survey for the parent or caregiver to give in the home or authentic setting. Designed to be sent home for the provider to do in the home. </w:t>
            </w:r>
            <w:r w:rsidR="00F32420">
              <w:t xml:space="preserve">There is also a way to send it home and have </w:t>
            </w:r>
            <w:r w:rsidR="00F32420">
              <w:lastRenderedPageBreak/>
              <w:t xml:space="preserve">the parents use the materials that they already have in the home. </w:t>
            </w:r>
          </w:p>
        </w:tc>
        <w:tc>
          <w:tcPr>
            <w:tcW w:w="2394" w:type="dxa"/>
          </w:tcPr>
          <w:p w:rsidR="00FB6CCD" w:rsidRDefault="00F32420" w:rsidP="00FB6CCD">
            <w:r>
              <w:lastRenderedPageBreak/>
              <w:t xml:space="preserve">The ASQ-SE includes lots of functional items and helps you get the full vision of the child. </w:t>
            </w:r>
          </w:p>
          <w:p w:rsidR="00F32420" w:rsidRDefault="00F32420" w:rsidP="00FB6CCD">
            <w:r>
              <w:t>The ASQ would be really helpful for the transition meeting to get the right questions asked during the</w:t>
            </w:r>
          </w:p>
          <w:p w:rsidR="00F32420" w:rsidRDefault="00F32420" w:rsidP="00FB6CCD"/>
        </w:tc>
        <w:tc>
          <w:tcPr>
            <w:tcW w:w="2394" w:type="dxa"/>
          </w:tcPr>
          <w:p w:rsidR="00FB6CCD" w:rsidRDefault="001A5AA5" w:rsidP="00FB6CCD">
            <w:r>
              <w:t xml:space="preserve">From 36 – 66 months the interval between assessments is wider and might not be sensitive to subtle changes. </w:t>
            </w:r>
          </w:p>
          <w:p w:rsidR="00F32420" w:rsidRDefault="00F32420" w:rsidP="00FB6CCD">
            <w:r>
              <w:t xml:space="preserve">There might be additional support necessary. </w:t>
            </w:r>
          </w:p>
          <w:p w:rsidR="00F32420" w:rsidRDefault="00F32420" w:rsidP="00FB6CCD">
            <w:r>
              <w:t xml:space="preserve">The information is only </w:t>
            </w:r>
            <w:r>
              <w:lastRenderedPageBreak/>
              <w:t xml:space="preserve">as good as the person that did it. </w:t>
            </w:r>
          </w:p>
          <w:p w:rsidR="00F32420" w:rsidRDefault="00F32420" w:rsidP="00FB6CCD">
            <w:r>
              <w:t>You need to supplement with the ASQ-SE to measure outcome 1</w:t>
            </w:r>
          </w:p>
          <w:p w:rsidR="00F32420" w:rsidRDefault="00F32420" w:rsidP="00FB6CCD">
            <w:r>
              <w:t xml:space="preserve">The items in the ASQ are less functional. </w:t>
            </w:r>
          </w:p>
          <w:p w:rsidR="00F32420" w:rsidRDefault="00F32420" w:rsidP="00FB6CCD">
            <w:r>
              <w:t>The ASQ-SE has broader intervals</w:t>
            </w:r>
          </w:p>
          <w:p w:rsidR="00F32420" w:rsidRDefault="00F32420" w:rsidP="00FB6CCD">
            <w:r>
              <w:t>The ASQ states that it should not be used on children with known disabilities</w:t>
            </w:r>
          </w:p>
        </w:tc>
        <w:tc>
          <w:tcPr>
            <w:tcW w:w="2394" w:type="dxa"/>
          </w:tcPr>
          <w:p w:rsidR="00FB6CCD" w:rsidRDefault="00FB6CCD" w:rsidP="00FB6CCD"/>
        </w:tc>
      </w:tr>
      <w:tr w:rsidR="00FB6CCD" w:rsidTr="00FB6CCD">
        <w:tc>
          <w:tcPr>
            <w:tcW w:w="2394" w:type="dxa"/>
          </w:tcPr>
          <w:p w:rsidR="00FB6CCD" w:rsidRDefault="00F32420" w:rsidP="00FB6CCD">
            <w:r>
              <w:lastRenderedPageBreak/>
              <w:t>BDI-II</w:t>
            </w:r>
            <w:r w:rsidR="00F51D9E">
              <w:t xml:space="preserve"> – structured tests and </w:t>
            </w:r>
          </w:p>
        </w:tc>
        <w:tc>
          <w:tcPr>
            <w:tcW w:w="2394" w:type="dxa"/>
          </w:tcPr>
          <w:p w:rsidR="00FB6CCD" w:rsidRDefault="00F32420" w:rsidP="00FB6CCD">
            <w:r>
              <w:t>Very comprehensive</w:t>
            </w:r>
          </w:p>
          <w:p w:rsidR="00F32420" w:rsidRDefault="00F32420" w:rsidP="00FB6CCD">
            <w:r>
              <w:t xml:space="preserve">Meets the age level criteria of 0 – 7. </w:t>
            </w:r>
          </w:p>
          <w:p w:rsidR="00F32420" w:rsidRDefault="00F32420" w:rsidP="00FB6CCD">
            <w:r>
              <w:t>Used for children with disabilities</w:t>
            </w:r>
          </w:p>
          <w:p w:rsidR="00F32420" w:rsidRDefault="00F32420" w:rsidP="00FB6CCD">
            <w:r>
              <w:t>Available in Spanish</w:t>
            </w:r>
          </w:p>
          <w:p w:rsidR="00F32420" w:rsidRDefault="00F32420" w:rsidP="00FB6CCD">
            <w:r>
              <w:t>Domain based</w:t>
            </w:r>
          </w:p>
          <w:p w:rsidR="00F32420" w:rsidRDefault="00F32420" w:rsidP="00FB6CCD">
            <w:r>
              <w:t>The adaptive domain is very detailed</w:t>
            </w:r>
          </w:p>
          <w:p w:rsidR="00F32420" w:rsidRDefault="00F32420" w:rsidP="00FB6CCD">
            <w:r>
              <w:t>There is a parent interview in the adaptive domain.</w:t>
            </w:r>
          </w:p>
          <w:p w:rsidR="00F32420" w:rsidRDefault="00F32420" w:rsidP="00F32420">
            <w:r>
              <w:t xml:space="preserve">The adaptive domain is functional in nature. </w:t>
            </w:r>
          </w:p>
          <w:p w:rsidR="00CD3908" w:rsidRDefault="00CD3908" w:rsidP="00F32420">
            <w:r>
              <w:t xml:space="preserve">Includes accommodations for children that speak Spanish. </w:t>
            </w:r>
          </w:p>
          <w:p w:rsidR="00CD3908" w:rsidRDefault="00CD3908" w:rsidP="00F32420">
            <w:r>
              <w:t xml:space="preserve">It covers the outcomes well. </w:t>
            </w:r>
          </w:p>
        </w:tc>
        <w:tc>
          <w:tcPr>
            <w:tcW w:w="2394" w:type="dxa"/>
          </w:tcPr>
          <w:p w:rsidR="00FB6CCD" w:rsidRDefault="00F32420" w:rsidP="00FB6CCD">
            <w:r>
              <w:t>Requires special training to administer and score the test</w:t>
            </w:r>
            <w:r w:rsidR="00F53292">
              <w:t>.</w:t>
            </w:r>
          </w:p>
          <w:p w:rsidR="00F53292" w:rsidRDefault="00F53292" w:rsidP="00FB6CCD">
            <w:r>
              <w:t xml:space="preserve">It is difficult to add accommodations because of the structured nature of the test. </w:t>
            </w:r>
          </w:p>
          <w:p w:rsidR="00CD3908" w:rsidRDefault="00CD3908" w:rsidP="00FB6CCD">
            <w:r>
              <w:t xml:space="preserve">There is footwork before you give the test. </w:t>
            </w:r>
          </w:p>
          <w:p w:rsidR="00CD3908" w:rsidRDefault="00CD3908" w:rsidP="00FB6CCD">
            <w:r>
              <w:t>Takes 1 – 1.5 hours to administer.</w:t>
            </w:r>
          </w:p>
          <w:p w:rsidR="00F51D9E" w:rsidRDefault="00F51D9E" w:rsidP="00FB6CCD">
            <w:r>
              <w:t xml:space="preserve">The scores are very complicated. </w:t>
            </w:r>
          </w:p>
          <w:p w:rsidR="00F51D9E" w:rsidRDefault="00F51D9E" w:rsidP="00FB6CCD">
            <w:r>
              <w:t>If the implementation is not appropriate the reliability and validity are not maintained</w:t>
            </w:r>
          </w:p>
        </w:tc>
        <w:tc>
          <w:tcPr>
            <w:tcW w:w="2394" w:type="dxa"/>
          </w:tcPr>
          <w:p w:rsidR="00FB6CCD" w:rsidRDefault="00F51D9E" w:rsidP="00FB6CCD">
            <w:r>
              <w:t>Bi-lingual administrators charge 3 – 5 hours</w:t>
            </w:r>
          </w:p>
        </w:tc>
      </w:tr>
      <w:tr w:rsidR="00FB6CCD" w:rsidTr="00FB6CCD">
        <w:tc>
          <w:tcPr>
            <w:tcW w:w="2394" w:type="dxa"/>
          </w:tcPr>
          <w:p w:rsidR="00FB6CCD" w:rsidRDefault="00F51D9E" w:rsidP="00FB6CCD">
            <w:r>
              <w:t xml:space="preserve">HELP – it has an assessment strand 0 – 3 and 3 – 6 the strand is what you mark and from there you color code a chart </w:t>
            </w:r>
          </w:p>
        </w:tc>
        <w:tc>
          <w:tcPr>
            <w:tcW w:w="2394" w:type="dxa"/>
          </w:tcPr>
          <w:p w:rsidR="00FB6CCD" w:rsidRDefault="00F51D9E" w:rsidP="00FB6CCD">
            <w:r>
              <w:t>It is sensitive</w:t>
            </w:r>
          </w:p>
          <w:p w:rsidR="00F51D9E" w:rsidRDefault="00F51D9E" w:rsidP="00FB6CCD">
            <w:r>
              <w:t>Very easy to use</w:t>
            </w:r>
          </w:p>
          <w:p w:rsidR="00F51D9E" w:rsidRDefault="00F51D9E" w:rsidP="00FB6CCD">
            <w:r>
              <w:t>Time effective</w:t>
            </w:r>
          </w:p>
          <w:p w:rsidR="00F51D9E" w:rsidRDefault="00F51D9E" w:rsidP="00FB6CCD">
            <w:r>
              <w:t>Cost 64.93</w:t>
            </w:r>
          </w:p>
          <w:p w:rsidR="00F51D9E" w:rsidRDefault="00F51D9E" w:rsidP="00FB6CCD">
            <w:r>
              <w:t xml:space="preserve">You have to purchase individually. </w:t>
            </w:r>
          </w:p>
          <w:p w:rsidR="00F51D9E" w:rsidRDefault="00F51D9E" w:rsidP="00FB6CCD">
            <w:r>
              <w:t>It is useful</w:t>
            </w:r>
          </w:p>
          <w:p w:rsidR="00F51D9E" w:rsidRDefault="00F51D9E" w:rsidP="00FB6CCD">
            <w:r>
              <w:t>It is developmentally appropriate</w:t>
            </w:r>
          </w:p>
          <w:p w:rsidR="00F51D9E" w:rsidRDefault="00F51D9E" w:rsidP="00FB6CCD">
            <w:r>
              <w:t>It is available in Spanish</w:t>
            </w:r>
          </w:p>
          <w:p w:rsidR="00F51D9E" w:rsidRDefault="00F51D9E" w:rsidP="00FB6CCD">
            <w:r>
              <w:t>0 – 6 age range</w:t>
            </w:r>
          </w:p>
          <w:p w:rsidR="00F51D9E" w:rsidRDefault="00F51D9E" w:rsidP="00FB6CCD">
            <w:r>
              <w:t>Comprehensive</w:t>
            </w:r>
          </w:p>
          <w:p w:rsidR="00F51D9E" w:rsidRDefault="00F51D9E" w:rsidP="00FB6CCD">
            <w:r>
              <w:t xml:space="preserve">Includes parents in the rating. </w:t>
            </w:r>
          </w:p>
          <w:p w:rsidR="00F51D9E" w:rsidRDefault="00F51D9E" w:rsidP="00FB6CCD">
            <w:r>
              <w:t xml:space="preserve">It has adaptations for </w:t>
            </w:r>
            <w:r>
              <w:lastRenderedPageBreak/>
              <w:t>SPED</w:t>
            </w:r>
          </w:p>
          <w:p w:rsidR="00F51D9E" w:rsidRDefault="00F51D9E" w:rsidP="00FB6CCD">
            <w:r>
              <w:t>Web-based data entry</w:t>
            </w:r>
          </w:p>
          <w:p w:rsidR="00F51D9E" w:rsidRDefault="00F51D9E" w:rsidP="00FB6CCD">
            <w:r>
              <w:t xml:space="preserve">Covers all of </w:t>
            </w:r>
            <w:proofErr w:type="gramStart"/>
            <w:r>
              <w:t>the  outcomes</w:t>
            </w:r>
            <w:proofErr w:type="gramEnd"/>
            <w:r>
              <w:t xml:space="preserve">. </w:t>
            </w:r>
          </w:p>
          <w:p w:rsidR="00F51D9E" w:rsidRDefault="00F51D9E" w:rsidP="00FB6CCD">
            <w:r>
              <w:t xml:space="preserve">This helps educate teachers about what is developmentally appropriate. </w:t>
            </w:r>
          </w:p>
        </w:tc>
        <w:tc>
          <w:tcPr>
            <w:tcW w:w="2394" w:type="dxa"/>
          </w:tcPr>
          <w:p w:rsidR="00FB6CCD" w:rsidRDefault="00F51D9E" w:rsidP="00FB6CCD">
            <w:r>
              <w:lastRenderedPageBreak/>
              <w:t>Mix of functional and non-functional items.</w:t>
            </w:r>
          </w:p>
          <w:p w:rsidR="00F51D9E" w:rsidRDefault="00F51D9E" w:rsidP="00FB6CCD"/>
          <w:p w:rsidR="00F51D9E" w:rsidRDefault="00F51D9E" w:rsidP="00FB6CCD">
            <w:r>
              <w:t xml:space="preserve">You need to be well trained to use all of the pieces. </w:t>
            </w:r>
          </w:p>
          <w:p w:rsidR="00F51D9E" w:rsidRDefault="00F51D9E" w:rsidP="00FB6CCD">
            <w:r>
              <w:t xml:space="preserve">Very detailed and takes a lot of time. </w:t>
            </w:r>
          </w:p>
          <w:p w:rsidR="00F51D9E" w:rsidRDefault="00F51D9E" w:rsidP="00FB6CCD"/>
          <w:p w:rsidR="00F51D9E" w:rsidRDefault="00F51D9E" w:rsidP="00FB6CCD"/>
        </w:tc>
        <w:tc>
          <w:tcPr>
            <w:tcW w:w="2394" w:type="dxa"/>
          </w:tcPr>
          <w:p w:rsidR="00FB6CCD" w:rsidRDefault="00F51D9E" w:rsidP="00FB6CCD">
            <w:r>
              <w:t xml:space="preserve">This is what her ECI uses and she thinks that would make the transition more seamless. </w:t>
            </w:r>
          </w:p>
          <w:p w:rsidR="00F51D9E" w:rsidRDefault="00F51D9E" w:rsidP="00FB6CCD">
            <w:r>
              <w:t xml:space="preserve">It is one of the recommended tools. </w:t>
            </w:r>
          </w:p>
          <w:p w:rsidR="00F51D9E" w:rsidRDefault="00F51D9E" w:rsidP="00FB6CCD"/>
        </w:tc>
      </w:tr>
      <w:tr w:rsidR="00FB6CCD" w:rsidTr="00FB6CCD">
        <w:tc>
          <w:tcPr>
            <w:tcW w:w="2394" w:type="dxa"/>
          </w:tcPr>
          <w:p w:rsidR="00FB6CCD" w:rsidRDefault="00F51D9E" w:rsidP="00FB6CCD">
            <w:r>
              <w:lastRenderedPageBreak/>
              <w:t xml:space="preserve">Creative Curriculum  - </w:t>
            </w:r>
          </w:p>
        </w:tc>
        <w:tc>
          <w:tcPr>
            <w:tcW w:w="2394" w:type="dxa"/>
          </w:tcPr>
          <w:p w:rsidR="00FB6CCD" w:rsidRDefault="00F51D9E" w:rsidP="00FB6CCD">
            <w:r>
              <w:t xml:space="preserve">They have an online version of the curriculum. </w:t>
            </w:r>
          </w:p>
          <w:p w:rsidR="00F51D9E" w:rsidRDefault="00FB4E17" w:rsidP="00FB6CCD">
            <w:r>
              <w:t>Easy to use.</w:t>
            </w:r>
          </w:p>
          <w:p w:rsidR="00FB4E17" w:rsidRDefault="00FB4E17" w:rsidP="00FB4E17">
            <w:r>
              <w:t>Aligned to the Pre-K outcomes</w:t>
            </w:r>
          </w:p>
          <w:p w:rsidR="00FB4E17" w:rsidRDefault="00FB4E17" w:rsidP="00FB6CCD">
            <w:r>
              <w:t>Linked to instruction</w:t>
            </w:r>
          </w:p>
          <w:p w:rsidR="00FB4E17" w:rsidRDefault="00FB4E17" w:rsidP="00FB6CCD">
            <w:r>
              <w:t>Web interface is linked to activities and gives you easier activities</w:t>
            </w:r>
          </w:p>
          <w:p w:rsidR="00FB4E17" w:rsidRDefault="00FB4E17" w:rsidP="00FB6CCD">
            <w:r>
              <w:t>Very little training.</w:t>
            </w:r>
          </w:p>
          <w:p w:rsidR="00FB4E17" w:rsidRDefault="00FB4E17" w:rsidP="00FB6CCD">
            <w:r>
              <w:t xml:space="preserve">Place for anecdotal notes. </w:t>
            </w:r>
          </w:p>
          <w:p w:rsidR="00D87891" w:rsidRDefault="00D87891" w:rsidP="00FB6CCD">
            <w:r>
              <w:t xml:space="preserve">Parent newsletters that you can print and send out. </w:t>
            </w:r>
          </w:p>
          <w:p w:rsidR="00D87891" w:rsidRDefault="00D87891" w:rsidP="00FB6CCD">
            <w:r>
              <w:t xml:space="preserve">It has the evolution of the same skills over time. This helps with rating the COSF. </w:t>
            </w:r>
          </w:p>
          <w:p w:rsidR="00F22759" w:rsidRDefault="00F22759" w:rsidP="00FB6CCD">
            <w:r>
              <w:t>They felt that the assessment helped them better understand the developmental constructs measured through the COSF</w:t>
            </w:r>
          </w:p>
        </w:tc>
        <w:tc>
          <w:tcPr>
            <w:tcW w:w="2394" w:type="dxa"/>
          </w:tcPr>
          <w:p w:rsidR="00FB6CCD" w:rsidRDefault="00F51D9E" w:rsidP="00FB6CCD">
            <w:r>
              <w:t xml:space="preserve">The paper copy is difficult to administer because the forerunners are not included in the manual. </w:t>
            </w:r>
          </w:p>
          <w:p w:rsidR="00664C77" w:rsidRDefault="00664C77" w:rsidP="00FB6CCD">
            <w:r>
              <w:t xml:space="preserve">Difficult to use for teachers that are not computer savvy. </w:t>
            </w:r>
          </w:p>
          <w:p w:rsidR="00664C77" w:rsidRDefault="00664C77" w:rsidP="00FB6CCD">
            <w:r>
              <w:t xml:space="preserve">Not good for kids that are medically fragile you might need to use another tool. </w:t>
            </w:r>
          </w:p>
          <w:p w:rsidR="00D95B94" w:rsidRDefault="00D95B94" w:rsidP="00FB6CCD">
            <w:r>
              <w:t xml:space="preserve">Less information in social emotional (kids with ASDs are not well measured on the social emotional scale). </w:t>
            </w:r>
          </w:p>
          <w:p w:rsidR="00FB4E17" w:rsidRDefault="00FB4E17" w:rsidP="00FB6CCD"/>
        </w:tc>
        <w:tc>
          <w:tcPr>
            <w:tcW w:w="2394" w:type="dxa"/>
          </w:tcPr>
          <w:p w:rsidR="00FB6CCD" w:rsidRDefault="00664C77" w:rsidP="00FB6CCD">
            <w:r>
              <w:t xml:space="preserve">Rita has a document with the forerunners and regular levels combined. </w:t>
            </w:r>
          </w:p>
          <w:p w:rsidR="00D87891" w:rsidRDefault="00D87891" w:rsidP="00FB6CCD">
            <w:r>
              <w:t xml:space="preserve">She had the items put into her IEP system so that they can generate functional outcomes that are linked to assessment. </w:t>
            </w:r>
          </w:p>
        </w:tc>
      </w:tr>
      <w:tr w:rsidR="00FB6CCD" w:rsidTr="00FB6CCD">
        <w:tc>
          <w:tcPr>
            <w:tcW w:w="2394" w:type="dxa"/>
          </w:tcPr>
          <w:p w:rsidR="00FB6CCD" w:rsidRDefault="00F22759" w:rsidP="00FB6CCD">
            <w:r>
              <w:t xml:space="preserve">High-Scope- two products IT 0 – 3 and Preschool 2.5 – 6. Available in 2 versions paper version where you record anecdotal notes. There is a </w:t>
            </w:r>
            <w:proofErr w:type="spellStart"/>
            <w:r>
              <w:t>cd</w:t>
            </w:r>
            <w:proofErr w:type="spellEnd"/>
            <w:r>
              <w:t xml:space="preserve"> </w:t>
            </w:r>
            <w:proofErr w:type="spellStart"/>
            <w:r>
              <w:t>rom</w:t>
            </w:r>
            <w:proofErr w:type="spellEnd"/>
            <w:r>
              <w:t xml:space="preserve"> or </w:t>
            </w:r>
            <w:proofErr w:type="spellStart"/>
            <w:r>
              <w:t>onlineCOR</w:t>
            </w:r>
            <w:proofErr w:type="spellEnd"/>
            <w:r>
              <w:t xml:space="preserve"> you buy 5 slots at a time and you need to purchase every year. </w:t>
            </w:r>
          </w:p>
        </w:tc>
        <w:tc>
          <w:tcPr>
            <w:tcW w:w="2394" w:type="dxa"/>
          </w:tcPr>
          <w:p w:rsidR="00FB6CCD" w:rsidRDefault="00F22759" w:rsidP="00FB6CCD">
            <w:r>
              <w:t xml:space="preserve">The skills assessed are very functional </w:t>
            </w:r>
          </w:p>
          <w:p w:rsidR="00F22759" w:rsidRDefault="00F22759" w:rsidP="00FB6CCD">
            <w:r>
              <w:t xml:space="preserve">Assessment conducted in natural environments. </w:t>
            </w:r>
          </w:p>
          <w:p w:rsidR="00F22759" w:rsidRDefault="00F22759" w:rsidP="00FB6CCD">
            <w:r>
              <w:t>You record quoted student language.</w:t>
            </w:r>
          </w:p>
          <w:p w:rsidR="00F22759" w:rsidRDefault="00F22759" w:rsidP="00FB6CCD">
            <w:r>
              <w:t xml:space="preserve">Good coverage for the COSF </w:t>
            </w:r>
          </w:p>
          <w:p w:rsidR="00F22759" w:rsidRDefault="00F22759" w:rsidP="00FB6CCD">
            <w:r>
              <w:t>There is information for families about the assessment available in English and Spanish</w:t>
            </w:r>
          </w:p>
          <w:p w:rsidR="00F22759" w:rsidRDefault="00F22759" w:rsidP="00FB6CCD">
            <w:r>
              <w:t xml:space="preserve">Correlated to the Pre-K guidelines and head </w:t>
            </w:r>
            <w:r>
              <w:lastRenderedPageBreak/>
              <w:t>start guideline</w:t>
            </w:r>
          </w:p>
          <w:p w:rsidR="00F22759" w:rsidRDefault="00F22759" w:rsidP="00FB6CCD">
            <w:r>
              <w:t xml:space="preserve">Includes instructional activities based on key developmental indicators. </w:t>
            </w:r>
          </w:p>
          <w:p w:rsidR="009761CF" w:rsidRDefault="009761CF" w:rsidP="00FB6CCD">
            <w:r>
              <w:t xml:space="preserve">They have individualized reports for parents. </w:t>
            </w:r>
            <w:proofErr w:type="gramStart"/>
            <w:r>
              <w:t>That allow</w:t>
            </w:r>
            <w:proofErr w:type="gramEnd"/>
            <w:r>
              <w:t xml:space="preserve"> parents to see progress. </w:t>
            </w:r>
          </w:p>
          <w:p w:rsidR="009761CF" w:rsidRDefault="009761CF" w:rsidP="00FB6CCD">
            <w:r>
              <w:t xml:space="preserve">It has been validated against standardized tests. </w:t>
            </w:r>
          </w:p>
          <w:p w:rsidR="009761CF" w:rsidRDefault="009761CF" w:rsidP="00FB6CCD">
            <w:r>
              <w:t>You can include information from the parents in the scoring</w:t>
            </w:r>
          </w:p>
          <w:p w:rsidR="009761CF" w:rsidRDefault="009761CF" w:rsidP="00FB6CCD"/>
        </w:tc>
        <w:tc>
          <w:tcPr>
            <w:tcW w:w="2394" w:type="dxa"/>
          </w:tcPr>
          <w:p w:rsidR="00FB6CCD" w:rsidRDefault="00F22759" w:rsidP="00FB6CCD">
            <w:r>
              <w:lastRenderedPageBreak/>
              <w:t>There are some areas where the IT and Preschool are not aligned e.g. self awareness and social emotional</w:t>
            </w:r>
          </w:p>
          <w:p w:rsidR="009761CF" w:rsidRDefault="009761CF" w:rsidP="00FB6CCD">
            <w:r>
              <w:t xml:space="preserve">Not age </w:t>
            </w:r>
            <w:proofErr w:type="spellStart"/>
            <w:r>
              <w:t>normed</w:t>
            </w:r>
            <w:proofErr w:type="spellEnd"/>
          </w:p>
          <w:p w:rsidR="009761CF" w:rsidRDefault="009761CF" w:rsidP="00FB6CCD"/>
        </w:tc>
        <w:tc>
          <w:tcPr>
            <w:tcW w:w="2394" w:type="dxa"/>
          </w:tcPr>
          <w:p w:rsidR="00FB6CCD" w:rsidRDefault="009761CF" w:rsidP="00FB6CCD">
            <w:r>
              <w:t xml:space="preserve">Robin has a form with guidelines for interpreting the High Scope COR. This helps people interpret the information in the context of typically developing peers. </w:t>
            </w:r>
          </w:p>
        </w:tc>
      </w:tr>
      <w:tr w:rsidR="00FB6CCD" w:rsidTr="00FB6CCD">
        <w:tc>
          <w:tcPr>
            <w:tcW w:w="2394" w:type="dxa"/>
          </w:tcPr>
          <w:p w:rsidR="00FB6CCD" w:rsidRDefault="0039273D" w:rsidP="00FB6CCD">
            <w:r>
              <w:lastRenderedPageBreak/>
              <w:t xml:space="preserve">DAYC - </w:t>
            </w:r>
          </w:p>
        </w:tc>
        <w:tc>
          <w:tcPr>
            <w:tcW w:w="2394" w:type="dxa"/>
          </w:tcPr>
          <w:p w:rsidR="00FB6CCD" w:rsidRDefault="0039273D" w:rsidP="00FB6CCD">
            <w:r>
              <w:t xml:space="preserve">Has good age range </w:t>
            </w:r>
          </w:p>
          <w:p w:rsidR="0039273D" w:rsidRDefault="0039273D" w:rsidP="00FB6CCD">
            <w:r>
              <w:t>You have to be trained in assessment to administer</w:t>
            </w:r>
          </w:p>
          <w:p w:rsidR="0039273D" w:rsidRDefault="0039273D" w:rsidP="00FB6CCD">
            <w:r>
              <w:t xml:space="preserve">There is a large amount of observation included. </w:t>
            </w:r>
          </w:p>
          <w:p w:rsidR="0039273D" w:rsidRDefault="0039273D" w:rsidP="00FB6CCD">
            <w:r>
              <w:t>There is a parent interview component</w:t>
            </w:r>
          </w:p>
          <w:p w:rsidR="00636A75" w:rsidRDefault="00636A75" w:rsidP="00FB6CCD">
            <w:r>
              <w:t>It covers all of the areas</w:t>
            </w:r>
          </w:p>
          <w:p w:rsidR="00636A75" w:rsidRDefault="00636A75" w:rsidP="00FB6CCD">
            <w:r>
              <w:t xml:space="preserve">The items are very functional. </w:t>
            </w:r>
          </w:p>
          <w:p w:rsidR="00636A75" w:rsidRDefault="00636A75" w:rsidP="00FB6CCD">
            <w:r>
              <w:t xml:space="preserve">There is a developmental chart that provides great information for teachers [ you can buy the chart separately Brenda posts this in her child find offices] </w:t>
            </w:r>
          </w:p>
        </w:tc>
        <w:tc>
          <w:tcPr>
            <w:tcW w:w="2394" w:type="dxa"/>
          </w:tcPr>
          <w:p w:rsidR="00FB6CCD" w:rsidRDefault="0039273D" w:rsidP="00FB6CCD">
            <w:r>
              <w:t>Tough for ELL and kids at risk</w:t>
            </w:r>
          </w:p>
          <w:p w:rsidR="0039273D" w:rsidRDefault="0039273D" w:rsidP="00FB6CCD">
            <w:r>
              <w:t>English only</w:t>
            </w:r>
          </w:p>
          <w:p w:rsidR="0039273D" w:rsidRDefault="0039273D" w:rsidP="00FB6CCD">
            <w:r>
              <w:t>Should be used for eligibility and not program planning (experience says that it is not helpful)</w:t>
            </w:r>
          </w:p>
          <w:p w:rsidR="0039273D" w:rsidRDefault="0039273D" w:rsidP="00FB6CCD">
            <w:r>
              <w:t xml:space="preserve">It is difficult to use for progress monitoring [ there is not distinction between a mastered skill and an emerging skill] </w:t>
            </w:r>
          </w:p>
          <w:p w:rsidR="00636A75" w:rsidRDefault="00636A75" w:rsidP="00FB6CCD">
            <w:r>
              <w:t>The higher age range skills seem too high/not developmentally appropriate</w:t>
            </w:r>
          </w:p>
          <w:p w:rsidR="00636A75" w:rsidRDefault="00636A75" w:rsidP="00FB6CCD">
            <w:r>
              <w:t>The developmental continuum does not have face validity</w:t>
            </w:r>
          </w:p>
          <w:p w:rsidR="00636A75" w:rsidRDefault="00636A75" w:rsidP="00FB6CCD">
            <w:r>
              <w:t xml:space="preserve">All the articulation is at the 12 month level. </w:t>
            </w:r>
          </w:p>
        </w:tc>
        <w:tc>
          <w:tcPr>
            <w:tcW w:w="2394" w:type="dxa"/>
          </w:tcPr>
          <w:p w:rsidR="00FB6CCD" w:rsidRDefault="00FB6CCD" w:rsidP="00FB6CCD"/>
        </w:tc>
      </w:tr>
    </w:tbl>
    <w:p w:rsidR="00FB6CCD" w:rsidRDefault="00FB6CCD" w:rsidP="00FB6CCD"/>
    <w:p w:rsidR="00D92610" w:rsidRDefault="00D92610" w:rsidP="00D92610">
      <w:pPr>
        <w:pStyle w:val="ListParagraph"/>
      </w:pPr>
    </w:p>
    <w:sectPr w:rsidR="00D92610" w:rsidSect="00944827">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F5D" w:rsidRDefault="00DC3F5D" w:rsidP="00DC3F5D">
      <w:pPr>
        <w:spacing w:after="0" w:line="240" w:lineRule="auto"/>
      </w:pPr>
      <w:r>
        <w:separator/>
      </w:r>
    </w:p>
  </w:endnote>
  <w:endnote w:type="continuationSeparator" w:id="0">
    <w:p w:rsidR="00DC3F5D" w:rsidRDefault="00DC3F5D" w:rsidP="00DC3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F5D" w:rsidRDefault="00DC3F5D" w:rsidP="00DC3F5D">
    <w:pPr>
      <w:pStyle w:val="Header"/>
    </w:pPr>
    <w:r>
      <w:rPr>
        <w:rFonts w:ascii="Cambria" w:hAnsi="Cambria"/>
        <w:b/>
        <w:noProof/>
        <w:color w:val="7030A0"/>
      </w:rPr>
      <w:drawing>
        <wp:anchor distT="0" distB="0" distL="114300" distR="114300" simplePos="0" relativeHeight="251665408" behindDoc="0" locked="0" layoutInCell="1" allowOverlap="1">
          <wp:simplePos x="0" y="0"/>
          <wp:positionH relativeFrom="column">
            <wp:posOffset>-73025</wp:posOffset>
          </wp:positionH>
          <wp:positionV relativeFrom="paragraph">
            <wp:posOffset>88900</wp:posOffset>
          </wp:positionV>
          <wp:extent cx="673100" cy="56070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673100" cy="560705"/>
                  </a:xfrm>
                  <a:prstGeom prst="rect">
                    <a:avLst/>
                  </a:prstGeom>
                  <a:noFill/>
                  <a:ln w="9525">
                    <a:noFill/>
                    <a:miter lim="800000"/>
                    <a:headEnd/>
                    <a:tailEnd/>
                  </a:ln>
                </pic:spPr>
              </pic:pic>
            </a:graphicData>
          </a:graphic>
        </wp:anchor>
      </w:drawing>
    </w:r>
    <w:r>
      <w:tab/>
    </w:r>
  </w:p>
  <w:p w:rsidR="00DC3F5D" w:rsidRDefault="00DC3F5D" w:rsidP="00DC3F5D">
    <w:pPr>
      <w:pStyle w:val="Header"/>
    </w:pPr>
  </w:p>
  <w:p w:rsidR="00DC3F5D" w:rsidRPr="00FD2A66" w:rsidRDefault="00DC3F5D" w:rsidP="00DC3F5D">
    <w:pPr>
      <w:pStyle w:val="Header"/>
      <w:rPr>
        <w:b/>
        <w:color w:val="7030A0"/>
      </w:rPr>
    </w:pPr>
    <w:r>
      <w:rPr>
        <w:rFonts w:ascii="Cambria" w:hAnsi="Cambria"/>
        <w:b/>
        <w:noProof/>
        <w:color w:val="7030A0"/>
      </w:rPr>
      <w:drawing>
        <wp:anchor distT="0" distB="0" distL="114300" distR="114300" simplePos="0" relativeHeight="251664384" behindDoc="0" locked="0" layoutInCell="1" allowOverlap="1">
          <wp:simplePos x="0" y="0"/>
          <wp:positionH relativeFrom="column">
            <wp:posOffset>495300</wp:posOffset>
          </wp:positionH>
          <wp:positionV relativeFrom="paragraph">
            <wp:posOffset>7073265</wp:posOffset>
          </wp:positionV>
          <wp:extent cx="673100" cy="56070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673100" cy="560705"/>
                  </a:xfrm>
                  <a:prstGeom prst="rect">
                    <a:avLst/>
                  </a:prstGeom>
                  <a:noFill/>
                  <a:ln w="9525">
                    <a:noFill/>
                    <a:miter lim="800000"/>
                    <a:headEnd/>
                    <a:tailEnd/>
                  </a:ln>
                </pic:spPr>
              </pic:pic>
            </a:graphicData>
          </a:graphic>
        </wp:anchor>
      </w:drawing>
    </w:r>
    <w:r>
      <w:rPr>
        <w:rFonts w:ascii="Cambria" w:hAnsi="Cambria"/>
        <w:b/>
        <w:noProof/>
        <w:color w:val="7030A0"/>
      </w:rPr>
      <w:drawing>
        <wp:anchor distT="0" distB="0" distL="114300" distR="114300" simplePos="0" relativeHeight="251663360" behindDoc="0" locked="0" layoutInCell="1" allowOverlap="1">
          <wp:simplePos x="0" y="0"/>
          <wp:positionH relativeFrom="column">
            <wp:posOffset>495300</wp:posOffset>
          </wp:positionH>
          <wp:positionV relativeFrom="paragraph">
            <wp:posOffset>7073265</wp:posOffset>
          </wp:positionV>
          <wp:extent cx="673100" cy="56070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73100" cy="560705"/>
                  </a:xfrm>
                  <a:prstGeom prst="rect">
                    <a:avLst/>
                  </a:prstGeom>
                  <a:noFill/>
                  <a:ln w="9525">
                    <a:noFill/>
                    <a:miter lim="800000"/>
                    <a:headEnd/>
                    <a:tailEnd/>
                  </a:ln>
                </pic:spPr>
              </pic:pic>
            </a:graphicData>
          </a:graphic>
        </wp:anchor>
      </w:drawing>
    </w:r>
    <w:r>
      <w:rPr>
        <w:rFonts w:ascii="Cambria" w:hAnsi="Cambria"/>
        <w:b/>
        <w:noProof/>
        <w:color w:val="7030A0"/>
      </w:rPr>
      <w:drawing>
        <wp:anchor distT="0" distB="0" distL="114300" distR="114300" simplePos="0" relativeHeight="251662336" behindDoc="0" locked="0" layoutInCell="1" allowOverlap="1">
          <wp:simplePos x="0" y="0"/>
          <wp:positionH relativeFrom="column">
            <wp:posOffset>495300</wp:posOffset>
          </wp:positionH>
          <wp:positionV relativeFrom="paragraph">
            <wp:posOffset>7073265</wp:posOffset>
          </wp:positionV>
          <wp:extent cx="673100" cy="56070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73100" cy="560705"/>
                  </a:xfrm>
                  <a:prstGeom prst="rect">
                    <a:avLst/>
                  </a:prstGeom>
                  <a:noFill/>
                  <a:ln w="9525">
                    <a:noFill/>
                    <a:miter lim="800000"/>
                    <a:headEnd/>
                    <a:tailEnd/>
                  </a:ln>
                </pic:spPr>
              </pic:pic>
            </a:graphicData>
          </a:graphic>
        </wp:anchor>
      </w:drawing>
    </w:r>
    <w:r>
      <w:rPr>
        <w:rFonts w:ascii="Cambria" w:hAnsi="Cambria"/>
        <w:b/>
        <w:noProof/>
        <w:color w:val="7030A0"/>
      </w:rPr>
      <w:drawing>
        <wp:anchor distT="0" distB="0" distL="114300" distR="114300" simplePos="0" relativeHeight="251661312" behindDoc="0" locked="0" layoutInCell="1" allowOverlap="1">
          <wp:simplePos x="0" y="0"/>
          <wp:positionH relativeFrom="column">
            <wp:posOffset>428625</wp:posOffset>
          </wp:positionH>
          <wp:positionV relativeFrom="paragraph">
            <wp:posOffset>8974455</wp:posOffset>
          </wp:positionV>
          <wp:extent cx="673100" cy="56070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73100" cy="560705"/>
                  </a:xfrm>
                  <a:prstGeom prst="rect">
                    <a:avLst/>
                  </a:prstGeom>
                  <a:noFill/>
                  <a:ln w="9525">
                    <a:noFill/>
                    <a:miter lim="800000"/>
                    <a:headEnd/>
                    <a:tailEnd/>
                  </a:ln>
                </pic:spPr>
              </pic:pic>
            </a:graphicData>
          </a:graphic>
        </wp:anchor>
      </w:drawing>
    </w:r>
    <w:r>
      <w:rPr>
        <w:rFonts w:ascii="Cambria" w:hAnsi="Cambria"/>
        <w:b/>
        <w:noProof/>
        <w:color w:val="7030A0"/>
      </w:rPr>
      <w:drawing>
        <wp:anchor distT="0" distB="0" distL="114300" distR="114300" simplePos="0" relativeHeight="251660288" behindDoc="0" locked="0" layoutInCell="1" allowOverlap="1">
          <wp:simplePos x="0" y="0"/>
          <wp:positionH relativeFrom="column">
            <wp:posOffset>428625</wp:posOffset>
          </wp:positionH>
          <wp:positionV relativeFrom="paragraph">
            <wp:posOffset>8974455</wp:posOffset>
          </wp:positionV>
          <wp:extent cx="673100" cy="56070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560705"/>
                  </a:xfrm>
                  <a:prstGeom prst="rect">
                    <a:avLst/>
                  </a:prstGeom>
                  <a:noFill/>
                  <a:ln w="9525">
                    <a:noFill/>
                    <a:miter lim="800000"/>
                    <a:headEnd/>
                    <a:tailEnd/>
                  </a:ln>
                </pic:spPr>
              </pic:pic>
            </a:graphicData>
          </a:graphic>
        </wp:anchor>
      </w:drawing>
    </w:r>
    <w:r>
      <w:rPr>
        <w:rFonts w:ascii="Cambria" w:hAnsi="Cambria"/>
        <w:b/>
        <w:color w:val="7030A0"/>
      </w:rPr>
      <w:tab/>
    </w:r>
    <w:r w:rsidRPr="00D00EAB">
      <w:rPr>
        <w:rFonts w:ascii="Cambria" w:hAnsi="Cambria"/>
        <w:b/>
        <w:color w:val="7030A0"/>
      </w:rPr>
      <w:t>The Early Childhood Outcomes Center</w:t>
    </w:r>
    <w:r w:rsidRPr="00D00EAB">
      <w:rPr>
        <w:b/>
        <w:noProof/>
        <w:color w:val="7030A0"/>
      </w:rPr>
      <w:t xml:space="preserve">                                             </w:t>
    </w:r>
    <w:r>
      <w:rPr>
        <w:b/>
        <w:noProof/>
        <w:color w:val="7030A0"/>
      </w:rPr>
      <w:t xml:space="preserve">          </w:t>
    </w:r>
    <w:r w:rsidRPr="00D00EAB">
      <w:rPr>
        <w:b/>
        <w:color w:val="7030A0"/>
      </w:rPr>
      <w:t>3-</w:t>
    </w:r>
    <w:r w:rsidR="00944827">
      <w:rPr>
        <w:b/>
        <w:color w:val="7030A0"/>
      </w:rPr>
      <w:t>5-10</w:t>
    </w:r>
    <w:r w:rsidRPr="00D00EAB">
      <w:rPr>
        <w:b/>
        <w:noProof/>
        <w:color w:val="7030A0"/>
      </w:rPr>
      <w:t xml:space="preserve">                                                                                </w:t>
    </w:r>
  </w:p>
  <w:p w:rsidR="00DC3F5D" w:rsidRDefault="00DC3F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F5D" w:rsidRDefault="00DC3F5D" w:rsidP="00DC3F5D">
      <w:pPr>
        <w:spacing w:after="0" w:line="240" w:lineRule="auto"/>
      </w:pPr>
      <w:r>
        <w:separator/>
      </w:r>
    </w:p>
  </w:footnote>
  <w:footnote w:type="continuationSeparator" w:id="0">
    <w:p w:rsidR="00DC3F5D" w:rsidRDefault="00DC3F5D" w:rsidP="00DC3F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3560F"/>
    <w:multiLevelType w:val="hybridMultilevel"/>
    <w:tmpl w:val="AAD43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D92610"/>
    <w:rsid w:val="000E34E4"/>
    <w:rsid w:val="001A5AA5"/>
    <w:rsid w:val="002C1CBE"/>
    <w:rsid w:val="0033618F"/>
    <w:rsid w:val="0039273D"/>
    <w:rsid w:val="00415056"/>
    <w:rsid w:val="0049221A"/>
    <w:rsid w:val="00571A8A"/>
    <w:rsid w:val="00636A75"/>
    <w:rsid w:val="00664C77"/>
    <w:rsid w:val="006E170C"/>
    <w:rsid w:val="00944827"/>
    <w:rsid w:val="009761CF"/>
    <w:rsid w:val="00A160C1"/>
    <w:rsid w:val="00CD3908"/>
    <w:rsid w:val="00D87891"/>
    <w:rsid w:val="00D92610"/>
    <w:rsid w:val="00D95B94"/>
    <w:rsid w:val="00DC3F5D"/>
    <w:rsid w:val="00F22759"/>
    <w:rsid w:val="00F32420"/>
    <w:rsid w:val="00F33537"/>
    <w:rsid w:val="00F51D9E"/>
    <w:rsid w:val="00F53292"/>
    <w:rsid w:val="00F719DC"/>
    <w:rsid w:val="00FB4E17"/>
    <w:rsid w:val="00FB6C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1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610"/>
    <w:pPr>
      <w:ind w:left="720"/>
      <w:contextualSpacing/>
    </w:pPr>
  </w:style>
  <w:style w:type="table" w:styleId="TableGrid">
    <w:name w:val="Table Grid"/>
    <w:basedOn w:val="TableNormal"/>
    <w:uiPriority w:val="59"/>
    <w:rsid w:val="00FB6C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C3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F5D"/>
  </w:style>
  <w:style w:type="paragraph" w:styleId="Footer">
    <w:name w:val="footer"/>
    <w:basedOn w:val="Normal"/>
    <w:link w:val="FooterChar"/>
    <w:uiPriority w:val="99"/>
    <w:semiHidden/>
    <w:unhideWhenUsed/>
    <w:rsid w:val="00DC3F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3F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Education Service Center Region XIII</Company>
  <LinksUpToDate>false</LinksUpToDate>
  <CharactersWithSpaces>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 XIII</dc:creator>
  <cp:keywords/>
  <dc:description/>
  <cp:lastModifiedBy>siobhan colgan</cp:lastModifiedBy>
  <cp:revision>4</cp:revision>
  <dcterms:created xsi:type="dcterms:W3CDTF">2010-03-04T17:49:00Z</dcterms:created>
  <dcterms:modified xsi:type="dcterms:W3CDTF">2010-03-09T20:25:00Z</dcterms:modified>
</cp:coreProperties>
</file>