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B11" w:rsidRDefault="00D35818">
      <w:bookmarkStart w:id="0" w:name="_GoBack"/>
      <w:bookmarkEnd w:id="0"/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45.55pt;margin-top:52.15pt;width:229.65pt;height:574.75pt;z-index:251662336;mso-width-relative:margin;mso-height-relative:margin" stroked="f">
            <v:textbox style="mso-next-textbox:#_x0000_s1027">
              <w:txbxContent>
                <w:p w:rsidR="000123FE" w:rsidRDefault="000123FE"/>
                <w:tbl>
                  <w:tblPr>
                    <w:tblW w:w="4180" w:type="dxa"/>
                    <w:tblInd w:w="93" w:type="dxa"/>
                    <w:tblLook w:val="04A0" w:firstRow="1" w:lastRow="0" w:firstColumn="1" w:lastColumn="0" w:noHBand="0" w:noVBand="1"/>
                  </w:tblPr>
                  <w:tblGrid>
                    <w:gridCol w:w="1005"/>
                    <w:gridCol w:w="1191"/>
                    <w:gridCol w:w="994"/>
                    <w:gridCol w:w="990"/>
                  </w:tblGrid>
                  <w:tr w:rsidR="000123FE" w:rsidRPr="004B4AFE" w:rsidTr="00902598">
                    <w:trPr>
                      <w:trHeight w:val="600"/>
                    </w:trPr>
                    <w:tc>
                      <w:tcPr>
                        <w:tcW w:w="4180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000000"/>
                        </w:tcBorders>
                        <w:shd w:val="clear" w:color="000000" w:fill="BFBFBF"/>
                        <w:vAlign w:val="center"/>
                        <w:hideMark/>
                      </w:tcPr>
                      <w:p w:rsidR="000123FE" w:rsidRPr="004B4AFE" w:rsidRDefault="00C4337D" w:rsidP="00902598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Cs w:val="22"/>
                          </w:rPr>
                          <w:t>COS</w:t>
                        </w:r>
                        <w:r w:rsidR="000123FE" w:rsidRPr="00C4337D">
                          <w:rPr>
                            <w:rFonts w:ascii="Calibri" w:hAnsi="Calibri"/>
                            <w:b/>
                            <w:bCs/>
                            <w:color w:val="000000"/>
                            <w:szCs w:val="22"/>
                          </w:rPr>
                          <w:t xml:space="preserve"> to Progress Category Conversion</w:t>
                        </w:r>
                      </w:p>
                    </w:tc>
                  </w:tr>
                  <w:tr w:rsidR="000123FE" w:rsidRPr="004B4AFE" w:rsidTr="00902598">
                    <w:trPr>
                      <w:trHeight w:val="315"/>
                    </w:trPr>
                    <w:tc>
                      <w:tcPr>
                        <w:tcW w:w="1005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000000" w:fill="D8D8D8"/>
                        <w:noWrap/>
                        <w:vAlign w:val="bottom"/>
                        <w:hideMark/>
                      </w:tcPr>
                      <w:p w:rsidR="000123FE" w:rsidRPr="004B4AFE" w:rsidRDefault="006E64D0" w:rsidP="0090259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Entry Rating</w:t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D8D8D8"/>
                        <w:noWrap/>
                        <w:vAlign w:val="bottom"/>
                        <w:hideMark/>
                      </w:tcPr>
                      <w:p w:rsidR="006E64D0" w:rsidRDefault="006E64D0" w:rsidP="00902598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 xml:space="preserve">Exit </w:t>
                        </w:r>
                      </w:p>
                      <w:p w:rsidR="000123FE" w:rsidRPr="004B4AFE" w:rsidRDefault="006E64D0" w:rsidP="00902598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Rating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D8D8D8"/>
                        <w:noWrap/>
                        <w:vAlign w:val="bottom"/>
                        <w:hideMark/>
                      </w:tcPr>
                      <w:p w:rsidR="000123FE" w:rsidRPr="004B4AFE" w:rsidRDefault="000123FE" w:rsidP="0090259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B4AF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progress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D8D8D8"/>
                        <w:noWrap/>
                        <w:vAlign w:val="bottom"/>
                        <w:hideMark/>
                      </w:tcPr>
                      <w:p w:rsidR="000123FE" w:rsidRPr="004B4AFE" w:rsidRDefault="000123FE" w:rsidP="00902598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B4AF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category</w:t>
                        </w:r>
                      </w:p>
                    </w:tc>
                  </w:tr>
                  <w:tr w:rsidR="000123FE" w:rsidRPr="004B4AFE" w:rsidTr="00902598">
                    <w:trPr>
                      <w:trHeight w:val="300"/>
                    </w:trPr>
                    <w:tc>
                      <w:tcPr>
                        <w:tcW w:w="1005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000000" w:fill="D8D8D8"/>
                        <w:noWrap/>
                        <w:vAlign w:val="bottom"/>
                        <w:hideMark/>
                      </w:tcPr>
                      <w:p w:rsidR="000123FE" w:rsidRPr="004B4AFE" w:rsidRDefault="000123FE" w:rsidP="0090259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B4AF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D8D8D8"/>
                        <w:noWrap/>
                        <w:vAlign w:val="bottom"/>
                        <w:hideMark/>
                      </w:tcPr>
                      <w:p w:rsidR="000123FE" w:rsidRPr="004B4AFE" w:rsidRDefault="000123FE" w:rsidP="00902598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B4AF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D8D8D8"/>
                        <w:noWrap/>
                        <w:vAlign w:val="bottom"/>
                        <w:hideMark/>
                      </w:tcPr>
                      <w:p w:rsidR="000123FE" w:rsidRPr="004B4AFE" w:rsidRDefault="000123FE" w:rsidP="0090259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B4AF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D8D8D8"/>
                        <w:noWrap/>
                        <w:vAlign w:val="bottom"/>
                        <w:hideMark/>
                      </w:tcPr>
                      <w:p w:rsidR="000123FE" w:rsidRPr="004B4AFE" w:rsidRDefault="000123FE" w:rsidP="0090259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B4AF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e</w:t>
                        </w:r>
                      </w:p>
                    </w:tc>
                  </w:tr>
                  <w:tr w:rsidR="000123FE" w:rsidRPr="004B4AFE" w:rsidTr="00902598">
                    <w:trPr>
                      <w:trHeight w:val="300"/>
                    </w:trPr>
                    <w:tc>
                      <w:tcPr>
                        <w:tcW w:w="1005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000000" w:fill="D8D8D8"/>
                        <w:noWrap/>
                        <w:vAlign w:val="bottom"/>
                        <w:hideMark/>
                      </w:tcPr>
                      <w:p w:rsidR="000123FE" w:rsidRPr="004B4AFE" w:rsidRDefault="000123FE" w:rsidP="0090259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B4AF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D8D8D8"/>
                        <w:noWrap/>
                        <w:vAlign w:val="bottom"/>
                        <w:hideMark/>
                      </w:tcPr>
                      <w:p w:rsidR="000123FE" w:rsidRPr="004B4AFE" w:rsidRDefault="000123FE" w:rsidP="00902598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B4AF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D8D8D8"/>
                        <w:noWrap/>
                        <w:vAlign w:val="bottom"/>
                        <w:hideMark/>
                      </w:tcPr>
                      <w:p w:rsidR="000123FE" w:rsidRPr="004B4AFE" w:rsidRDefault="000123FE" w:rsidP="0090259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B4AF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D8D8D8"/>
                        <w:noWrap/>
                        <w:vAlign w:val="bottom"/>
                        <w:hideMark/>
                      </w:tcPr>
                      <w:p w:rsidR="000123FE" w:rsidRPr="004B4AFE" w:rsidRDefault="000123FE" w:rsidP="0090259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B4AF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e</w:t>
                        </w:r>
                      </w:p>
                    </w:tc>
                  </w:tr>
                  <w:tr w:rsidR="000123FE" w:rsidRPr="004B4AFE" w:rsidTr="00902598">
                    <w:trPr>
                      <w:trHeight w:val="315"/>
                    </w:trPr>
                    <w:tc>
                      <w:tcPr>
                        <w:tcW w:w="1005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000000" w:fill="D8D8D8"/>
                        <w:noWrap/>
                        <w:vAlign w:val="bottom"/>
                        <w:hideMark/>
                      </w:tcPr>
                      <w:p w:rsidR="000123FE" w:rsidRPr="004B4AFE" w:rsidRDefault="000123FE" w:rsidP="0090259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B4AF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D8D8D8"/>
                        <w:noWrap/>
                        <w:vAlign w:val="bottom"/>
                        <w:hideMark/>
                      </w:tcPr>
                      <w:p w:rsidR="000123FE" w:rsidRPr="004B4AFE" w:rsidRDefault="000123FE" w:rsidP="00902598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B4AF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 to 5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D8D8D8"/>
                        <w:noWrap/>
                        <w:vAlign w:val="bottom"/>
                        <w:hideMark/>
                      </w:tcPr>
                      <w:p w:rsidR="000123FE" w:rsidRPr="004B4AFE" w:rsidRDefault="000123FE" w:rsidP="0090259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B4AF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yes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D8D8D8"/>
                        <w:noWrap/>
                        <w:vAlign w:val="bottom"/>
                        <w:hideMark/>
                      </w:tcPr>
                      <w:p w:rsidR="000123FE" w:rsidRPr="004B4AFE" w:rsidRDefault="000123FE" w:rsidP="0090259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B4AF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b</w:t>
                        </w:r>
                      </w:p>
                    </w:tc>
                  </w:tr>
                  <w:tr w:rsidR="000123FE" w:rsidRPr="004B4AFE" w:rsidTr="00902598">
                    <w:trPr>
                      <w:trHeight w:val="330"/>
                    </w:trPr>
                    <w:tc>
                      <w:tcPr>
                        <w:tcW w:w="1005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000000" w:fill="D8D8D8"/>
                        <w:noWrap/>
                        <w:vAlign w:val="bottom"/>
                        <w:hideMark/>
                      </w:tcPr>
                      <w:p w:rsidR="000123FE" w:rsidRPr="004B4AFE" w:rsidRDefault="000123FE" w:rsidP="0090259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B4AF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D8D8D8"/>
                        <w:noWrap/>
                        <w:vAlign w:val="bottom"/>
                        <w:hideMark/>
                      </w:tcPr>
                      <w:p w:rsidR="000123FE" w:rsidRPr="004B4AFE" w:rsidRDefault="000123FE" w:rsidP="00902598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B4AF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 to 5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D8D8D8"/>
                        <w:noWrap/>
                        <w:vAlign w:val="bottom"/>
                        <w:hideMark/>
                      </w:tcPr>
                      <w:p w:rsidR="000123FE" w:rsidRPr="004B4AFE" w:rsidRDefault="000123FE" w:rsidP="0090259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B4AF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no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D8D8D8"/>
                        <w:noWrap/>
                        <w:vAlign w:val="bottom"/>
                        <w:hideMark/>
                      </w:tcPr>
                      <w:p w:rsidR="000123FE" w:rsidRPr="004B4AFE" w:rsidRDefault="000123FE" w:rsidP="0090259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B4AF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a</w:t>
                        </w:r>
                      </w:p>
                    </w:tc>
                  </w:tr>
                  <w:tr w:rsidR="000123FE" w:rsidRPr="004B4AFE" w:rsidTr="00902598">
                    <w:trPr>
                      <w:trHeight w:val="315"/>
                    </w:trPr>
                    <w:tc>
                      <w:tcPr>
                        <w:tcW w:w="1005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000000" w:fill="D8D8D8"/>
                        <w:noWrap/>
                        <w:vAlign w:val="bottom"/>
                        <w:hideMark/>
                      </w:tcPr>
                      <w:p w:rsidR="000123FE" w:rsidRPr="004B4AFE" w:rsidRDefault="000123FE" w:rsidP="0090259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B4AF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D8D8D8"/>
                        <w:noWrap/>
                        <w:vAlign w:val="bottom"/>
                        <w:hideMark/>
                      </w:tcPr>
                      <w:p w:rsidR="000123FE" w:rsidRPr="004B4AFE" w:rsidRDefault="000123FE" w:rsidP="00902598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B4AF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D8D8D8"/>
                        <w:noWrap/>
                        <w:vAlign w:val="bottom"/>
                        <w:hideMark/>
                      </w:tcPr>
                      <w:p w:rsidR="000123FE" w:rsidRPr="004B4AFE" w:rsidRDefault="000123FE" w:rsidP="0090259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B4AF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D8D8D8"/>
                        <w:noWrap/>
                        <w:vAlign w:val="bottom"/>
                        <w:hideMark/>
                      </w:tcPr>
                      <w:p w:rsidR="000123FE" w:rsidRPr="004B4AFE" w:rsidRDefault="000123FE" w:rsidP="0090259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B4AF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e</w:t>
                        </w:r>
                      </w:p>
                    </w:tc>
                  </w:tr>
                  <w:tr w:rsidR="000123FE" w:rsidRPr="004B4AFE" w:rsidTr="00902598">
                    <w:trPr>
                      <w:trHeight w:val="300"/>
                    </w:trPr>
                    <w:tc>
                      <w:tcPr>
                        <w:tcW w:w="1005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000000" w:fill="D8D8D8"/>
                        <w:noWrap/>
                        <w:vAlign w:val="bottom"/>
                        <w:hideMark/>
                      </w:tcPr>
                      <w:p w:rsidR="000123FE" w:rsidRPr="004B4AFE" w:rsidRDefault="000123FE" w:rsidP="0090259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B4AF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D8D8D8"/>
                        <w:noWrap/>
                        <w:vAlign w:val="bottom"/>
                        <w:hideMark/>
                      </w:tcPr>
                      <w:p w:rsidR="000123FE" w:rsidRPr="004B4AFE" w:rsidRDefault="000123FE" w:rsidP="00902598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B4AF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D8D8D8"/>
                        <w:noWrap/>
                        <w:vAlign w:val="bottom"/>
                        <w:hideMark/>
                      </w:tcPr>
                      <w:p w:rsidR="000123FE" w:rsidRPr="004B4AFE" w:rsidRDefault="000123FE" w:rsidP="0090259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B4AF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D8D8D8"/>
                        <w:noWrap/>
                        <w:vAlign w:val="bottom"/>
                        <w:hideMark/>
                      </w:tcPr>
                      <w:p w:rsidR="000123FE" w:rsidRPr="004B4AFE" w:rsidRDefault="000123FE" w:rsidP="0090259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B4AF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e</w:t>
                        </w:r>
                      </w:p>
                    </w:tc>
                  </w:tr>
                  <w:tr w:rsidR="000123FE" w:rsidRPr="004B4AFE" w:rsidTr="00902598">
                    <w:trPr>
                      <w:trHeight w:val="315"/>
                    </w:trPr>
                    <w:tc>
                      <w:tcPr>
                        <w:tcW w:w="1005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000000" w:fill="D8D8D8"/>
                        <w:noWrap/>
                        <w:vAlign w:val="bottom"/>
                        <w:hideMark/>
                      </w:tcPr>
                      <w:p w:rsidR="000123FE" w:rsidRPr="004B4AFE" w:rsidRDefault="000123FE" w:rsidP="0090259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B4AF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D8D8D8"/>
                        <w:noWrap/>
                        <w:vAlign w:val="bottom"/>
                        <w:hideMark/>
                      </w:tcPr>
                      <w:p w:rsidR="000123FE" w:rsidRPr="004B4AFE" w:rsidRDefault="000123FE" w:rsidP="00902598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B4AF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 to 5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D8D8D8"/>
                        <w:noWrap/>
                        <w:vAlign w:val="bottom"/>
                        <w:hideMark/>
                      </w:tcPr>
                      <w:p w:rsidR="000123FE" w:rsidRPr="004B4AFE" w:rsidRDefault="000123FE" w:rsidP="0090259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B4AF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yes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D8D8D8"/>
                        <w:noWrap/>
                        <w:vAlign w:val="bottom"/>
                        <w:hideMark/>
                      </w:tcPr>
                      <w:p w:rsidR="000123FE" w:rsidRPr="004B4AFE" w:rsidRDefault="000123FE" w:rsidP="0090259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B4AF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b</w:t>
                        </w:r>
                      </w:p>
                    </w:tc>
                  </w:tr>
                  <w:tr w:rsidR="000123FE" w:rsidRPr="004B4AFE" w:rsidTr="00902598">
                    <w:trPr>
                      <w:trHeight w:val="330"/>
                    </w:trPr>
                    <w:tc>
                      <w:tcPr>
                        <w:tcW w:w="1005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000000" w:fill="D8D8D8"/>
                        <w:noWrap/>
                        <w:vAlign w:val="bottom"/>
                        <w:hideMark/>
                      </w:tcPr>
                      <w:p w:rsidR="000123FE" w:rsidRPr="004B4AFE" w:rsidRDefault="000123FE" w:rsidP="0090259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B4AF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D8D8D8"/>
                        <w:noWrap/>
                        <w:vAlign w:val="bottom"/>
                        <w:hideMark/>
                      </w:tcPr>
                      <w:p w:rsidR="000123FE" w:rsidRPr="004B4AFE" w:rsidRDefault="000123FE" w:rsidP="00902598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B4AF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 to 5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D8D8D8"/>
                        <w:noWrap/>
                        <w:vAlign w:val="bottom"/>
                        <w:hideMark/>
                      </w:tcPr>
                      <w:p w:rsidR="000123FE" w:rsidRPr="004B4AFE" w:rsidRDefault="000123FE" w:rsidP="0090259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B4AF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no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D8D8D8"/>
                        <w:noWrap/>
                        <w:vAlign w:val="bottom"/>
                        <w:hideMark/>
                      </w:tcPr>
                      <w:p w:rsidR="000123FE" w:rsidRPr="004B4AFE" w:rsidRDefault="000123FE" w:rsidP="0090259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B4AF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a</w:t>
                        </w:r>
                      </w:p>
                    </w:tc>
                  </w:tr>
                  <w:tr w:rsidR="000123FE" w:rsidRPr="004B4AFE" w:rsidTr="00902598">
                    <w:trPr>
                      <w:trHeight w:val="315"/>
                    </w:trPr>
                    <w:tc>
                      <w:tcPr>
                        <w:tcW w:w="1005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000000" w:fill="D8D8D8"/>
                        <w:noWrap/>
                        <w:vAlign w:val="bottom"/>
                        <w:hideMark/>
                      </w:tcPr>
                      <w:p w:rsidR="000123FE" w:rsidRPr="004B4AFE" w:rsidRDefault="000123FE" w:rsidP="0090259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B4AF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D8D8D8"/>
                        <w:noWrap/>
                        <w:vAlign w:val="bottom"/>
                        <w:hideMark/>
                      </w:tcPr>
                      <w:p w:rsidR="000123FE" w:rsidRPr="004B4AFE" w:rsidRDefault="000123FE" w:rsidP="00902598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B4AF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6 or 7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D8D8D8"/>
                        <w:noWrap/>
                        <w:vAlign w:val="bottom"/>
                        <w:hideMark/>
                      </w:tcPr>
                      <w:p w:rsidR="000123FE" w:rsidRPr="004B4AFE" w:rsidRDefault="000123FE" w:rsidP="0090259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B4AF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D8D8D8"/>
                        <w:noWrap/>
                        <w:vAlign w:val="bottom"/>
                        <w:hideMark/>
                      </w:tcPr>
                      <w:p w:rsidR="000123FE" w:rsidRPr="004B4AFE" w:rsidRDefault="000123FE" w:rsidP="0090259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B4AF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d</w:t>
                        </w:r>
                      </w:p>
                    </w:tc>
                  </w:tr>
                  <w:tr w:rsidR="000123FE" w:rsidRPr="004B4AFE" w:rsidTr="00902598">
                    <w:trPr>
                      <w:trHeight w:val="300"/>
                    </w:trPr>
                    <w:tc>
                      <w:tcPr>
                        <w:tcW w:w="1005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000000" w:fill="D8D8D8"/>
                        <w:noWrap/>
                        <w:vAlign w:val="bottom"/>
                        <w:hideMark/>
                      </w:tcPr>
                      <w:p w:rsidR="000123FE" w:rsidRPr="004B4AFE" w:rsidRDefault="000123FE" w:rsidP="0090259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B4AF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D8D8D8"/>
                        <w:noWrap/>
                        <w:vAlign w:val="bottom"/>
                        <w:hideMark/>
                      </w:tcPr>
                      <w:p w:rsidR="000123FE" w:rsidRPr="004B4AFE" w:rsidRDefault="000123FE" w:rsidP="00902598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B4AF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D8D8D8"/>
                        <w:noWrap/>
                        <w:vAlign w:val="bottom"/>
                        <w:hideMark/>
                      </w:tcPr>
                      <w:p w:rsidR="000123FE" w:rsidRPr="004B4AFE" w:rsidRDefault="000123FE" w:rsidP="0090259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B4AF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D8D8D8"/>
                        <w:noWrap/>
                        <w:vAlign w:val="bottom"/>
                        <w:hideMark/>
                      </w:tcPr>
                      <w:p w:rsidR="000123FE" w:rsidRPr="004B4AFE" w:rsidRDefault="000123FE" w:rsidP="0090259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B4AF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b</w:t>
                        </w:r>
                      </w:p>
                    </w:tc>
                  </w:tr>
                  <w:tr w:rsidR="000123FE" w:rsidRPr="004B4AFE" w:rsidTr="00902598">
                    <w:trPr>
                      <w:trHeight w:val="300"/>
                    </w:trPr>
                    <w:tc>
                      <w:tcPr>
                        <w:tcW w:w="1005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000000" w:fill="D8D8D8"/>
                        <w:noWrap/>
                        <w:vAlign w:val="bottom"/>
                        <w:hideMark/>
                      </w:tcPr>
                      <w:p w:rsidR="000123FE" w:rsidRPr="004B4AFE" w:rsidRDefault="000123FE" w:rsidP="0090259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B4AF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D8D8D8"/>
                        <w:noWrap/>
                        <w:vAlign w:val="bottom"/>
                        <w:hideMark/>
                      </w:tcPr>
                      <w:p w:rsidR="000123FE" w:rsidRPr="004B4AFE" w:rsidRDefault="000123FE" w:rsidP="00902598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B4AF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 to 4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D8D8D8"/>
                        <w:noWrap/>
                        <w:vAlign w:val="bottom"/>
                        <w:hideMark/>
                      </w:tcPr>
                      <w:p w:rsidR="000123FE" w:rsidRPr="004B4AFE" w:rsidRDefault="000123FE" w:rsidP="0090259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B4AF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yes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D8D8D8"/>
                        <w:noWrap/>
                        <w:vAlign w:val="bottom"/>
                        <w:hideMark/>
                      </w:tcPr>
                      <w:p w:rsidR="000123FE" w:rsidRPr="004B4AFE" w:rsidRDefault="000123FE" w:rsidP="0090259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B4AF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b</w:t>
                        </w:r>
                      </w:p>
                    </w:tc>
                  </w:tr>
                  <w:tr w:rsidR="000123FE" w:rsidRPr="004B4AFE" w:rsidTr="00902598">
                    <w:trPr>
                      <w:trHeight w:val="315"/>
                    </w:trPr>
                    <w:tc>
                      <w:tcPr>
                        <w:tcW w:w="1005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000000" w:fill="D8D8D8"/>
                        <w:noWrap/>
                        <w:vAlign w:val="bottom"/>
                        <w:hideMark/>
                      </w:tcPr>
                      <w:p w:rsidR="000123FE" w:rsidRPr="004B4AFE" w:rsidRDefault="000123FE" w:rsidP="0090259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B4AF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D8D8D8"/>
                        <w:noWrap/>
                        <w:vAlign w:val="bottom"/>
                        <w:hideMark/>
                      </w:tcPr>
                      <w:p w:rsidR="000123FE" w:rsidRPr="004B4AFE" w:rsidRDefault="000123FE" w:rsidP="00902598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B4AF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 to 4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D8D8D8"/>
                        <w:noWrap/>
                        <w:vAlign w:val="bottom"/>
                        <w:hideMark/>
                      </w:tcPr>
                      <w:p w:rsidR="000123FE" w:rsidRPr="004B4AFE" w:rsidRDefault="000123FE" w:rsidP="0090259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B4AF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no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D8D8D8"/>
                        <w:noWrap/>
                        <w:vAlign w:val="bottom"/>
                        <w:hideMark/>
                      </w:tcPr>
                      <w:p w:rsidR="000123FE" w:rsidRPr="004B4AFE" w:rsidRDefault="000123FE" w:rsidP="0090259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B4AF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a</w:t>
                        </w:r>
                      </w:p>
                    </w:tc>
                  </w:tr>
                  <w:tr w:rsidR="000123FE" w:rsidRPr="004B4AFE" w:rsidTr="00902598">
                    <w:trPr>
                      <w:trHeight w:val="330"/>
                    </w:trPr>
                    <w:tc>
                      <w:tcPr>
                        <w:tcW w:w="1005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000000" w:fill="D8D8D8"/>
                        <w:noWrap/>
                        <w:vAlign w:val="bottom"/>
                        <w:hideMark/>
                      </w:tcPr>
                      <w:p w:rsidR="000123FE" w:rsidRPr="004B4AFE" w:rsidRDefault="000123FE" w:rsidP="0090259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B4AF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D8D8D8"/>
                        <w:noWrap/>
                        <w:vAlign w:val="bottom"/>
                        <w:hideMark/>
                      </w:tcPr>
                      <w:p w:rsidR="000123FE" w:rsidRPr="004B4AFE" w:rsidRDefault="000123FE" w:rsidP="00902598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B4AF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6 or 7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D8D8D8"/>
                        <w:noWrap/>
                        <w:vAlign w:val="bottom"/>
                        <w:hideMark/>
                      </w:tcPr>
                      <w:p w:rsidR="000123FE" w:rsidRPr="004B4AFE" w:rsidRDefault="000123FE" w:rsidP="0090259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B4AF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D8D8D8"/>
                        <w:noWrap/>
                        <w:vAlign w:val="bottom"/>
                        <w:hideMark/>
                      </w:tcPr>
                      <w:p w:rsidR="000123FE" w:rsidRPr="004B4AFE" w:rsidRDefault="000123FE" w:rsidP="0090259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B4AF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d</w:t>
                        </w:r>
                      </w:p>
                    </w:tc>
                  </w:tr>
                  <w:tr w:rsidR="000123FE" w:rsidRPr="004B4AFE" w:rsidTr="00902598">
                    <w:trPr>
                      <w:trHeight w:val="315"/>
                    </w:trPr>
                    <w:tc>
                      <w:tcPr>
                        <w:tcW w:w="1005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000000" w:fill="D8D8D8"/>
                        <w:noWrap/>
                        <w:vAlign w:val="bottom"/>
                        <w:hideMark/>
                      </w:tcPr>
                      <w:p w:rsidR="000123FE" w:rsidRPr="004B4AFE" w:rsidRDefault="000123FE" w:rsidP="0090259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B4AF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D8D8D8"/>
                        <w:noWrap/>
                        <w:vAlign w:val="bottom"/>
                        <w:hideMark/>
                      </w:tcPr>
                      <w:p w:rsidR="000123FE" w:rsidRPr="004B4AFE" w:rsidRDefault="000123FE" w:rsidP="00902598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B4AF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D8D8D8"/>
                        <w:noWrap/>
                        <w:vAlign w:val="bottom"/>
                        <w:hideMark/>
                      </w:tcPr>
                      <w:p w:rsidR="000123FE" w:rsidRPr="004B4AFE" w:rsidRDefault="000123FE" w:rsidP="0090259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B4AF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D8D8D8"/>
                        <w:noWrap/>
                        <w:vAlign w:val="bottom"/>
                        <w:hideMark/>
                      </w:tcPr>
                      <w:p w:rsidR="000123FE" w:rsidRPr="004B4AFE" w:rsidRDefault="000123FE" w:rsidP="0090259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B4AF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c</w:t>
                        </w:r>
                      </w:p>
                    </w:tc>
                  </w:tr>
                  <w:tr w:rsidR="000123FE" w:rsidRPr="004B4AFE" w:rsidTr="00902598">
                    <w:trPr>
                      <w:trHeight w:val="300"/>
                    </w:trPr>
                    <w:tc>
                      <w:tcPr>
                        <w:tcW w:w="1005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000000" w:fill="D8D8D8"/>
                        <w:noWrap/>
                        <w:vAlign w:val="bottom"/>
                        <w:hideMark/>
                      </w:tcPr>
                      <w:p w:rsidR="000123FE" w:rsidRPr="004B4AFE" w:rsidRDefault="000123FE" w:rsidP="0090259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B4AF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D8D8D8"/>
                        <w:noWrap/>
                        <w:vAlign w:val="bottom"/>
                        <w:hideMark/>
                      </w:tcPr>
                      <w:p w:rsidR="000123FE" w:rsidRPr="004B4AFE" w:rsidRDefault="000123FE" w:rsidP="00902598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B4AF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D8D8D8"/>
                        <w:noWrap/>
                        <w:vAlign w:val="bottom"/>
                        <w:hideMark/>
                      </w:tcPr>
                      <w:p w:rsidR="000123FE" w:rsidRPr="004B4AFE" w:rsidRDefault="000123FE" w:rsidP="0090259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B4AF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D8D8D8"/>
                        <w:noWrap/>
                        <w:vAlign w:val="bottom"/>
                        <w:hideMark/>
                      </w:tcPr>
                      <w:p w:rsidR="000123FE" w:rsidRPr="004B4AFE" w:rsidRDefault="000123FE" w:rsidP="0090259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B4AF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b</w:t>
                        </w:r>
                      </w:p>
                    </w:tc>
                  </w:tr>
                  <w:tr w:rsidR="000123FE" w:rsidRPr="004B4AFE" w:rsidTr="00902598">
                    <w:trPr>
                      <w:trHeight w:val="315"/>
                    </w:trPr>
                    <w:tc>
                      <w:tcPr>
                        <w:tcW w:w="1005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000000" w:fill="D8D8D8"/>
                        <w:noWrap/>
                        <w:vAlign w:val="bottom"/>
                        <w:hideMark/>
                      </w:tcPr>
                      <w:p w:rsidR="000123FE" w:rsidRPr="004B4AFE" w:rsidRDefault="000123FE" w:rsidP="0090259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B4AF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D8D8D8"/>
                        <w:noWrap/>
                        <w:vAlign w:val="bottom"/>
                        <w:hideMark/>
                      </w:tcPr>
                      <w:p w:rsidR="000123FE" w:rsidRPr="004B4AFE" w:rsidRDefault="000123FE" w:rsidP="00902598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B4AF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 to 3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D8D8D8"/>
                        <w:noWrap/>
                        <w:vAlign w:val="bottom"/>
                        <w:hideMark/>
                      </w:tcPr>
                      <w:p w:rsidR="000123FE" w:rsidRPr="004B4AFE" w:rsidRDefault="000123FE" w:rsidP="0090259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B4AF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yes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D8D8D8"/>
                        <w:noWrap/>
                        <w:vAlign w:val="bottom"/>
                        <w:hideMark/>
                      </w:tcPr>
                      <w:p w:rsidR="000123FE" w:rsidRPr="004B4AFE" w:rsidRDefault="000123FE" w:rsidP="0090259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B4AF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b</w:t>
                        </w:r>
                      </w:p>
                    </w:tc>
                  </w:tr>
                  <w:tr w:rsidR="000123FE" w:rsidRPr="004B4AFE" w:rsidTr="00902598">
                    <w:trPr>
                      <w:trHeight w:val="330"/>
                    </w:trPr>
                    <w:tc>
                      <w:tcPr>
                        <w:tcW w:w="1005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000000" w:fill="D8D8D8"/>
                        <w:noWrap/>
                        <w:vAlign w:val="bottom"/>
                        <w:hideMark/>
                      </w:tcPr>
                      <w:p w:rsidR="000123FE" w:rsidRPr="004B4AFE" w:rsidRDefault="000123FE" w:rsidP="0090259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B4AF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D8D8D8"/>
                        <w:noWrap/>
                        <w:vAlign w:val="bottom"/>
                        <w:hideMark/>
                      </w:tcPr>
                      <w:p w:rsidR="000123FE" w:rsidRPr="004B4AFE" w:rsidRDefault="000123FE" w:rsidP="00902598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B4AF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 to 3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D8D8D8"/>
                        <w:noWrap/>
                        <w:vAlign w:val="bottom"/>
                        <w:hideMark/>
                      </w:tcPr>
                      <w:p w:rsidR="000123FE" w:rsidRPr="004B4AFE" w:rsidRDefault="000123FE" w:rsidP="0090259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B4AF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no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D8D8D8"/>
                        <w:noWrap/>
                        <w:vAlign w:val="bottom"/>
                        <w:hideMark/>
                      </w:tcPr>
                      <w:p w:rsidR="000123FE" w:rsidRPr="004B4AFE" w:rsidRDefault="000123FE" w:rsidP="0090259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B4AF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a</w:t>
                        </w:r>
                      </w:p>
                    </w:tc>
                  </w:tr>
                  <w:tr w:rsidR="000123FE" w:rsidRPr="004B4AFE" w:rsidTr="00902598">
                    <w:trPr>
                      <w:trHeight w:val="315"/>
                    </w:trPr>
                    <w:tc>
                      <w:tcPr>
                        <w:tcW w:w="1005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000000" w:fill="D8D8D8"/>
                        <w:noWrap/>
                        <w:vAlign w:val="bottom"/>
                        <w:hideMark/>
                      </w:tcPr>
                      <w:p w:rsidR="000123FE" w:rsidRPr="004B4AFE" w:rsidRDefault="000123FE" w:rsidP="0090259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B4AF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D8D8D8"/>
                        <w:noWrap/>
                        <w:vAlign w:val="bottom"/>
                        <w:hideMark/>
                      </w:tcPr>
                      <w:p w:rsidR="000123FE" w:rsidRPr="004B4AFE" w:rsidRDefault="000123FE" w:rsidP="00902598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B4AF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6 or 7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D8D8D8"/>
                        <w:noWrap/>
                        <w:vAlign w:val="bottom"/>
                        <w:hideMark/>
                      </w:tcPr>
                      <w:p w:rsidR="000123FE" w:rsidRPr="004B4AFE" w:rsidRDefault="000123FE" w:rsidP="0090259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B4AF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D8D8D8"/>
                        <w:noWrap/>
                        <w:vAlign w:val="bottom"/>
                        <w:hideMark/>
                      </w:tcPr>
                      <w:p w:rsidR="000123FE" w:rsidRPr="004B4AFE" w:rsidRDefault="000123FE" w:rsidP="0090259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B4AF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d</w:t>
                        </w:r>
                      </w:p>
                    </w:tc>
                  </w:tr>
                  <w:tr w:rsidR="000123FE" w:rsidRPr="004B4AFE" w:rsidTr="00902598">
                    <w:trPr>
                      <w:trHeight w:val="300"/>
                    </w:trPr>
                    <w:tc>
                      <w:tcPr>
                        <w:tcW w:w="1005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000000" w:fill="D8D8D8"/>
                        <w:noWrap/>
                        <w:vAlign w:val="bottom"/>
                        <w:hideMark/>
                      </w:tcPr>
                      <w:p w:rsidR="000123FE" w:rsidRPr="004B4AFE" w:rsidRDefault="000123FE" w:rsidP="0090259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B4AF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D8D8D8"/>
                        <w:noWrap/>
                        <w:vAlign w:val="bottom"/>
                        <w:hideMark/>
                      </w:tcPr>
                      <w:p w:rsidR="000123FE" w:rsidRPr="004B4AFE" w:rsidRDefault="000123FE" w:rsidP="00902598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B4AF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4 or 5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D8D8D8"/>
                        <w:noWrap/>
                        <w:vAlign w:val="bottom"/>
                        <w:hideMark/>
                      </w:tcPr>
                      <w:p w:rsidR="000123FE" w:rsidRPr="004B4AFE" w:rsidRDefault="000123FE" w:rsidP="0090259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B4AF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D8D8D8"/>
                        <w:noWrap/>
                        <w:vAlign w:val="bottom"/>
                        <w:hideMark/>
                      </w:tcPr>
                      <w:p w:rsidR="000123FE" w:rsidRPr="004B4AFE" w:rsidRDefault="000123FE" w:rsidP="0090259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B4AF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c</w:t>
                        </w:r>
                      </w:p>
                    </w:tc>
                  </w:tr>
                  <w:tr w:rsidR="000123FE" w:rsidRPr="004B4AFE" w:rsidTr="00902598">
                    <w:trPr>
                      <w:trHeight w:val="315"/>
                    </w:trPr>
                    <w:tc>
                      <w:tcPr>
                        <w:tcW w:w="1005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000000" w:fill="D8D8D8"/>
                        <w:noWrap/>
                        <w:vAlign w:val="bottom"/>
                        <w:hideMark/>
                      </w:tcPr>
                      <w:p w:rsidR="000123FE" w:rsidRPr="004B4AFE" w:rsidRDefault="000123FE" w:rsidP="0090259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B4AF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D8D8D8"/>
                        <w:noWrap/>
                        <w:vAlign w:val="bottom"/>
                        <w:hideMark/>
                      </w:tcPr>
                      <w:p w:rsidR="000123FE" w:rsidRPr="004B4AFE" w:rsidRDefault="000123FE" w:rsidP="00902598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B4AF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D8D8D8"/>
                        <w:noWrap/>
                        <w:vAlign w:val="bottom"/>
                        <w:hideMark/>
                      </w:tcPr>
                      <w:p w:rsidR="000123FE" w:rsidRPr="004B4AFE" w:rsidRDefault="000123FE" w:rsidP="0090259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B4AF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D8D8D8"/>
                        <w:noWrap/>
                        <w:vAlign w:val="bottom"/>
                        <w:hideMark/>
                      </w:tcPr>
                      <w:p w:rsidR="000123FE" w:rsidRPr="004B4AFE" w:rsidRDefault="000123FE" w:rsidP="0090259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B4AF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b</w:t>
                        </w:r>
                      </w:p>
                    </w:tc>
                  </w:tr>
                  <w:tr w:rsidR="000123FE" w:rsidRPr="004B4AFE" w:rsidTr="00902598">
                    <w:trPr>
                      <w:trHeight w:val="315"/>
                    </w:trPr>
                    <w:tc>
                      <w:tcPr>
                        <w:tcW w:w="1005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000000" w:fill="D8D8D8"/>
                        <w:noWrap/>
                        <w:vAlign w:val="bottom"/>
                        <w:hideMark/>
                      </w:tcPr>
                      <w:p w:rsidR="000123FE" w:rsidRPr="004B4AFE" w:rsidRDefault="000123FE" w:rsidP="0090259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B4AF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D8D8D8"/>
                        <w:noWrap/>
                        <w:vAlign w:val="bottom"/>
                        <w:hideMark/>
                      </w:tcPr>
                      <w:p w:rsidR="000123FE" w:rsidRPr="004B4AFE" w:rsidRDefault="000123FE" w:rsidP="00902598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B4AF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 or 2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D8D8D8"/>
                        <w:noWrap/>
                        <w:vAlign w:val="bottom"/>
                        <w:hideMark/>
                      </w:tcPr>
                      <w:p w:rsidR="000123FE" w:rsidRPr="004B4AFE" w:rsidRDefault="000123FE" w:rsidP="0090259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B4AF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yes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D8D8D8"/>
                        <w:noWrap/>
                        <w:vAlign w:val="bottom"/>
                        <w:hideMark/>
                      </w:tcPr>
                      <w:p w:rsidR="000123FE" w:rsidRPr="004B4AFE" w:rsidRDefault="000123FE" w:rsidP="0090259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B4AF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b</w:t>
                        </w:r>
                      </w:p>
                    </w:tc>
                  </w:tr>
                  <w:tr w:rsidR="000123FE" w:rsidRPr="004B4AFE" w:rsidTr="00902598">
                    <w:trPr>
                      <w:trHeight w:val="300"/>
                    </w:trPr>
                    <w:tc>
                      <w:tcPr>
                        <w:tcW w:w="1005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000000" w:fill="D8D8D8"/>
                        <w:noWrap/>
                        <w:vAlign w:val="bottom"/>
                        <w:hideMark/>
                      </w:tcPr>
                      <w:p w:rsidR="000123FE" w:rsidRPr="004B4AFE" w:rsidRDefault="000123FE" w:rsidP="0090259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B4AF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D8D8D8"/>
                        <w:noWrap/>
                        <w:vAlign w:val="bottom"/>
                        <w:hideMark/>
                      </w:tcPr>
                      <w:p w:rsidR="000123FE" w:rsidRPr="004B4AFE" w:rsidRDefault="000123FE" w:rsidP="00902598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B4AF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 or 2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D8D8D8"/>
                        <w:noWrap/>
                        <w:vAlign w:val="bottom"/>
                        <w:hideMark/>
                      </w:tcPr>
                      <w:p w:rsidR="000123FE" w:rsidRPr="004B4AFE" w:rsidRDefault="000123FE" w:rsidP="0090259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B4AF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no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D8D8D8"/>
                        <w:noWrap/>
                        <w:vAlign w:val="bottom"/>
                        <w:hideMark/>
                      </w:tcPr>
                      <w:p w:rsidR="000123FE" w:rsidRPr="004B4AFE" w:rsidRDefault="000123FE" w:rsidP="0090259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B4AF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a</w:t>
                        </w:r>
                      </w:p>
                    </w:tc>
                  </w:tr>
                  <w:tr w:rsidR="000123FE" w:rsidRPr="004B4AFE" w:rsidTr="00902598">
                    <w:trPr>
                      <w:trHeight w:val="300"/>
                    </w:trPr>
                    <w:tc>
                      <w:tcPr>
                        <w:tcW w:w="1005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000000" w:fill="D8D8D8"/>
                        <w:noWrap/>
                        <w:vAlign w:val="bottom"/>
                        <w:hideMark/>
                      </w:tcPr>
                      <w:p w:rsidR="000123FE" w:rsidRPr="004B4AFE" w:rsidRDefault="000123FE" w:rsidP="0090259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B4AF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D8D8D8"/>
                        <w:noWrap/>
                        <w:vAlign w:val="bottom"/>
                        <w:hideMark/>
                      </w:tcPr>
                      <w:p w:rsidR="000123FE" w:rsidRPr="004B4AFE" w:rsidRDefault="000123FE" w:rsidP="00902598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B4AF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6 or 7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D8D8D8"/>
                        <w:noWrap/>
                        <w:vAlign w:val="bottom"/>
                        <w:hideMark/>
                      </w:tcPr>
                      <w:p w:rsidR="000123FE" w:rsidRPr="004B4AFE" w:rsidRDefault="000123FE" w:rsidP="0090259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B4AF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D8D8D8"/>
                        <w:noWrap/>
                        <w:vAlign w:val="bottom"/>
                        <w:hideMark/>
                      </w:tcPr>
                      <w:p w:rsidR="000123FE" w:rsidRPr="004B4AFE" w:rsidRDefault="000123FE" w:rsidP="0090259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B4AF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d</w:t>
                        </w:r>
                      </w:p>
                    </w:tc>
                  </w:tr>
                  <w:tr w:rsidR="000123FE" w:rsidRPr="004B4AFE" w:rsidTr="00902598">
                    <w:trPr>
                      <w:trHeight w:val="300"/>
                    </w:trPr>
                    <w:tc>
                      <w:tcPr>
                        <w:tcW w:w="1005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000000" w:fill="D8D8D8"/>
                        <w:noWrap/>
                        <w:vAlign w:val="bottom"/>
                        <w:hideMark/>
                      </w:tcPr>
                      <w:p w:rsidR="000123FE" w:rsidRPr="004B4AFE" w:rsidRDefault="000123FE" w:rsidP="0090259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B4AF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D8D8D8"/>
                        <w:noWrap/>
                        <w:vAlign w:val="bottom"/>
                        <w:hideMark/>
                      </w:tcPr>
                      <w:p w:rsidR="000123FE" w:rsidRPr="004B4AFE" w:rsidRDefault="000123FE" w:rsidP="00902598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B4AF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3 to 5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D8D8D8"/>
                        <w:noWrap/>
                        <w:vAlign w:val="bottom"/>
                        <w:hideMark/>
                      </w:tcPr>
                      <w:p w:rsidR="000123FE" w:rsidRPr="004B4AFE" w:rsidRDefault="000123FE" w:rsidP="0090259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B4AF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D8D8D8"/>
                        <w:noWrap/>
                        <w:vAlign w:val="bottom"/>
                        <w:hideMark/>
                      </w:tcPr>
                      <w:p w:rsidR="000123FE" w:rsidRPr="004B4AFE" w:rsidRDefault="000123FE" w:rsidP="0090259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B4AF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c</w:t>
                        </w:r>
                      </w:p>
                    </w:tc>
                  </w:tr>
                  <w:tr w:rsidR="000123FE" w:rsidRPr="004B4AFE" w:rsidTr="00902598">
                    <w:trPr>
                      <w:trHeight w:val="300"/>
                    </w:trPr>
                    <w:tc>
                      <w:tcPr>
                        <w:tcW w:w="1005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000000" w:fill="D8D8D8"/>
                        <w:noWrap/>
                        <w:vAlign w:val="bottom"/>
                        <w:hideMark/>
                      </w:tcPr>
                      <w:p w:rsidR="000123FE" w:rsidRPr="004B4AFE" w:rsidRDefault="000123FE" w:rsidP="0090259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B4AF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D8D8D8"/>
                        <w:noWrap/>
                        <w:vAlign w:val="bottom"/>
                        <w:hideMark/>
                      </w:tcPr>
                      <w:p w:rsidR="000123FE" w:rsidRPr="004B4AFE" w:rsidRDefault="000123FE" w:rsidP="00902598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B4AF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D8D8D8"/>
                        <w:noWrap/>
                        <w:vAlign w:val="bottom"/>
                        <w:hideMark/>
                      </w:tcPr>
                      <w:p w:rsidR="000123FE" w:rsidRPr="004B4AFE" w:rsidRDefault="000123FE" w:rsidP="0090259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B4AF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D8D8D8"/>
                        <w:noWrap/>
                        <w:vAlign w:val="bottom"/>
                        <w:hideMark/>
                      </w:tcPr>
                      <w:p w:rsidR="000123FE" w:rsidRPr="004B4AFE" w:rsidRDefault="000123FE" w:rsidP="0090259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B4AF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b</w:t>
                        </w:r>
                      </w:p>
                    </w:tc>
                  </w:tr>
                  <w:tr w:rsidR="000123FE" w:rsidRPr="004B4AFE" w:rsidTr="00902598">
                    <w:trPr>
                      <w:trHeight w:val="300"/>
                    </w:trPr>
                    <w:tc>
                      <w:tcPr>
                        <w:tcW w:w="1005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000000" w:fill="D8D8D8"/>
                        <w:noWrap/>
                        <w:vAlign w:val="bottom"/>
                        <w:hideMark/>
                      </w:tcPr>
                      <w:p w:rsidR="000123FE" w:rsidRPr="004B4AFE" w:rsidRDefault="000123FE" w:rsidP="0090259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B4AF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D8D8D8"/>
                        <w:noWrap/>
                        <w:vAlign w:val="bottom"/>
                        <w:hideMark/>
                      </w:tcPr>
                      <w:p w:rsidR="000123FE" w:rsidRPr="004B4AFE" w:rsidRDefault="000123FE" w:rsidP="00902598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B4AF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D8D8D8"/>
                        <w:noWrap/>
                        <w:vAlign w:val="bottom"/>
                        <w:hideMark/>
                      </w:tcPr>
                      <w:p w:rsidR="000123FE" w:rsidRPr="004B4AFE" w:rsidRDefault="000123FE" w:rsidP="0090259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B4AF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yes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D8D8D8"/>
                        <w:noWrap/>
                        <w:vAlign w:val="bottom"/>
                        <w:hideMark/>
                      </w:tcPr>
                      <w:p w:rsidR="000123FE" w:rsidRPr="004B4AFE" w:rsidRDefault="000123FE" w:rsidP="0090259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B4AF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b</w:t>
                        </w:r>
                      </w:p>
                    </w:tc>
                  </w:tr>
                  <w:tr w:rsidR="000123FE" w:rsidRPr="004B4AFE" w:rsidTr="00902598">
                    <w:trPr>
                      <w:trHeight w:val="300"/>
                    </w:trPr>
                    <w:tc>
                      <w:tcPr>
                        <w:tcW w:w="1005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000000" w:fill="D8D8D8"/>
                        <w:noWrap/>
                        <w:vAlign w:val="bottom"/>
                        <w:hideMark/>
                      </w:tcPr>
                      <w:p w:rsidR="000123FE" w:rsidRPr="004B4AFE" w:rsidRDefault="000123FE" w:rsidP="0090259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B4AF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D8D8D8"/>
                        <w:noWrap/>
                        <w:vAlign w:val="bottom"/>
                        <w:hideMark/>
                      </w:tcPr>
                      <w:p w:rsidR="000123FE" w:rsidRPr="004B4AFE" w:rsidRDefault="000123FE" w:rsidP="00902598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B4AF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D8D8D8"/>
                        <w:noWrap/>
                        <w:vAlign w:val="bottom"/>
                        <w:hideMark/>
                      </w:tcPr>
                      <w:p w:rsidR="000123FE" w:rsidRPr="004B4AFE" w:rsidRDefault="000123FE" w:rsidP="0090259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B4AF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no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D8D8D8"/>
                        <w:noWrap/>
                        <w:vAlign w:val="bottom"/>
                        <w:hideMark/>
                      </w:tcPr>
                      <w:p w:rsidR="000123FE" w:rsidRPr="004B4AFE" w:rsidRDefault="000123FE" w:rsidP="0090259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B4AF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a</w:t>
                        </w:r>
                      </w:p>
                    </w:tc>
                  </w:tr>
                  <w:tr w:rsidR="000123FE" w:rsidRPr="004B4AFE" w:rsidTr="00902598">
                    <w:trPr>
                      <w:trHeight w:val="300"/>
                    </w:trPr>
                    <w:tc>
                      <w:tcPr>
                        <w:tcW w:w="1005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000000" w:fill="D8D8D8"/>
                        <w:noWrap/>
                        <w:vAlign w:val="bottom"/>
                        <w:hideMark/>
                      </w:tcPr>
                      <w:p w:rsidR="000123FE" w:rsidRPr="004B4AFE" w:rsidRDefault="000123FE" w:rsidP="0090259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B4AF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D8D8D8"/>
                        <w:noWrap/>
                        <w:vAlign w:val="bottom"/>
                        <w:hideMark/>
                      </w:tcPr>
                      <w:p w:rsidR="000123FE" w:rsidRPr="004B4AFE" w:rsidRDefault="000123FE" w:rsidP="00902598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B4AF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6 or 7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D8D8D8"/>
                        <w:noWrap/>
                        <w:vAlign w:val="bottom"/>
                        <w:hideMark/>
                      </w:tcPr>
                      <w:p w:rsidR="000123FE" w:rsidRPr="004B4AFE" w:rsidRDefault="000123FE" w:rsidP="0090259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B4AF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D8D8D8"/>
                        <w:noWrap/>
                        <w:vAlign w:val="bottom"/>
                        <w:hideMark/>
                      </w:tcPr>
                      <w:p w:rsidR="000123FE" w:rsidRPr="004B4AFE" w:rsidRDefault="000123FE" w:rsidP="0090259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B4AF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d</w:t>
                        </w:r>
                      </w:p>
                    </w:tc>
                  </w:tr>
                  <w:tr w:rsidR="000123FE" w:rsidRPr="004B4AFE" w:rsidTr="00902598">
                    <w:trPr>
                      <w:trHeight w:val="300"/>
                    </w:trPr>
                    <w:tc>
                      <w:tcPr>
                        <w:tcW w:w="1005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000000" w:fill="D8D8D8"/>
                        <w:noWrap/>
                        <w:vAlign w:val="bottom"/>
                        <w:hideMark/>
                      </w:tcPr>
                      <w:p w:rsidR="000123FE" w:rsidRPr="004B4AFE" w:rsidRDefault="000123FE" w:rsidP="0090259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B4AF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D8D8D8"/>
                        <w:noWrap/>
                        <w:vAlign w:val="bottom"/>
                        <w:hideMark/>
                      </w:tcPr>
                      <w:p w:rsidR="000123FE" w:rsidRPr="004B4AFE" w:rsidRDefault="000123FE" w:rsidP="00902598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B4AF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2 to 5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D8D8D8"/>
                        <w:noWrap/>
                        <w:vAlign w:val="bottom"/>
                        <w:hideMark/>
                      </w:tcPr>
                      <w:p w:rsidR="000123FE" w:rsidRPr="004B4AFE" w:rsidRDefault="000123FE" w:rsidP="0090259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B4AF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D8D8D8"/>
                        <w:noWrap/>
                        <w:vAlign w:val="bottom"/>
                        <w:hideMark/>
                      </w:tcPr>
                      <w:p w:rsidR="000123FE" w:rsidRPr="004B4AFE" w:rsidRDefault="000123FE" w:rsidP="0090259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B4AF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c</w:t>
                        </w:r>
                      </w:p>
                    </w:tc>
                  </w:tr>
                  <w:tr w:rsidR="000123FE" w:rsidRPr="004B4AFE" w:rsidTr="00902598">
                    <w:trPr>
                      <w:trHeight w:val="300"/>
                    </w:trPr>
                    <w:tc>
                      <w:tcPr>
                        <w:tcW w:w="1005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000000" w:fill="D8D8D8"/>
                        <w:noWrap/>
                        <w:vAlign w:val="bottom"/>
                        <w:hideMark/>
                      </w:tcPr>
                      <w:p w:rsidR="000123FE" w:rsidRPr="004B4AFE" w:rsidRDefault="000123FE" w:rsidP="0090259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B4AF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D8D8D8"/>
                        <w:noWrap/>
                        <w:vAlign w:val="bottom"/>
                        <w:hideMark/>
                      </w:tcPr>
                      <w:p w:rsidR="000123FE" w:rsidRPr="004B4AFE" w:rsidRDefault="000123FE" w:rsidP="00902598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B4AF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D8D8D8"/>
                        <w:noWrap/>
                        <w:vAlign w:val="bottom"/>
                        <w:hideMark/>
                      </w:tcPr>
                      <w:p w:rsidR="000123FE" w:rsidRPr="004B4AFE" w:rsidRDefault="000123FE" w:rsidP="0090259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B4AF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yes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D8D8D8"/>
                        <w:noWrap/>
                        <w:vAlign w:val="bottom"/>
                        <w:hideMark/>
                      </w:tcPr>
                      <w:p w:rsidR="000123FE" w:rsidRPr="004B4AFE" w:rsidRDefault="000123FE" w:rsidP="0090259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B4AF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b</w:t>
                        </w:r>
                      </w:p>
                    </w:tc>
                  </w:tr>
                  <w:tr w:rsidR="000123FE" w:rsidRPr="004B4AFE" w:rsidTr="00902598">
                    <w:trPr>
                      <w:trHeight w:val="300"/>
                    </w:trPr>
                    <w:tc>
                      <w:tcPr>
                        <w:tcW w:w="10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D8D8D8"/>
                        <w:noWrap/>
                        <w:vAlign w:val="bottom"/>
                        <w:hideMark/>
                      </w:tcPr>
                      <w:p w:rsidR="000123FE" w:rsidRPr="004B4AFE" w:rsidRDefault="000123FE" w:rsidP="0090259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B4AF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D8D8D8"/>
                        <w:noWrap/>
                        <w:vAlign w:val="bottom"/>
                        <w:hideMark/>
                      </w:tcPr>
                      <w:p w:rsidR="000123FE" w:rsidRPr="004B4AFE" w:rsidRDefault="000123FE" w:rsidP="00902598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B4AF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D8D8D8"/>
                        <w:noWrap/>
                        <w:vAlign w:val="bottom"/>
                        <w:hideMark/>
                      </w:tcPr>
                      <w:p w:rsidR="000123FE" w:rsidRPr="004B4AFE" w:rsidRDefault="000123FE" w:rsidP="0090259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B4AF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no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8D8D8"/>
                        <w:noWrap/>
                        <w:vAlign w:val="bottom"/>
                        <w:hideMark/>
                      </w:tcPr>
                      <w:p w:rsidR="000123FE" w:rsidRPr="004B4AFE" w:rsidRDefault="000123FE" w:rsidP="0090259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B4AF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a</w:t>
                        </w:r>
                      </w:p>
                    </w:tc>
                  </w:tr>
                </w:tbl>
                <w:p w:rsidR="000123FE" w:rsidRDefault="000123FE"/>
              </w:txbxContent>
            </v:textbox>
          </v:shape>
        </w:pict>
      </w:r>
      <w:r w:rsidR="00C4337D">
        <w:rPr>
          <w:noProof/>
          <w:lang w:eastAsia="zh-TW"/>
        </w:rPr>
        <w:pict>
          <v:shape id="_x0000_s1031" type="#_x0000_t202" style="position:absolute;margin-left:203.2pt;margin-top:-52.8pt;width:626.9pt;height:51.9pt;z-index:251668480;mso-height-percent:200;mso-height-percent:200;mso-width-relative:margin;mso-height-relative:margin" filled="f" strokecolor="black [3213]" strokeweight="3pt">
            <v:textbox style="mso-fit-shape-to-text:t">
              <w:txbxContent>
                <w:p w:rsidR="00E055CB" w:rsidRPr="00E055CB" w:rsidRDefault="00E055CB" w:rsidP="00E055CB">
                  <w:pPr>
                    <w:jc w:val="center"/>
                    <w:rPr>
                      <w:rFonts w:asciiTheme="minorHAnsi" w:hAnsiTheme="minorHAnsi" w:cstheme="minorHAnsi"/>
                      <w:b/>
                      <w:sz w:val="36"/>
                    </w:rPr>
                  </w:pPr>
                  <w:r w:rsidRPr="00E055CB">
                    <w:rPr>
                      <w:rFonts w:asciiTheme="minorHAnsi" w:hAnsiTheme="minorHAnsi" w:cstheme="minorHAnsi"/>
                      <w:b/>
                      <w:sz w:val="36"/>
                    </w:rPr>
                    <w:t>Child Outcomes Data Conversion – From COS to Summary Statements</w:t>
                  </w:r>
                </w:p>
              </w:txbxContent>
            </v:textbox>
          </v:shape>
        </w:pict>
      </w:r>
      <w:r w:rsidR="00C4337D">
        <w:rPr>
          <w:noProof/>
          <w:lang w:eastAsia="zh-TW"/>
        </w:rPr>
        <w:pict>
          <v:shape id="_x0000_s1029" type="#_x0000_t202" style="position:absolute;margin-left:488.75pt;margin-top:410.9pt;width:613.6pt;height:307.2pt;z-index:251666432;mso-height-percent:200;mso-height-percent:200;mso-width-relative:margin;mso-height-relative:margin" stroked="f">
            <v:textbox style="mso-next-textbox:#_x0000_s1029;mso-fit-shape-to-text:t">
              <w:txbxContent>
                <w:tbl>
                  <w:tblPr>
                    <w:tblW w:w="1209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96"/>
                  </w:tblGrid>
                  <w:tr w:rsidR="000123FE" w:rsidTr="000123FE">
                    <w:tc>
                      <w:tcPr>
                        <w:tcW w:w="12096" w:type="dxa"/>
                        <w:shd w:val="clear" w:color="auto" w:fill="3891A7"/>
                        <w:tcMar>
                          <w:top w:w="72" w:type="dxa"/>
                          <w:left w:w="149" w:type="dxa"/>
                          <w:bottom w:w="72" w:type="dxa"/>
                          <w:right w:w="149" w:type="dxa"/>
                        </w:tcMar>
                        <w:vAlign w:val="center"/>
                        <w:hideMark/>
                      </w:tcPr>
                      <w:p w:rsidR="000123FE" w:rsidRPr="000123FE" w:rsidRDefault="000123FE" w:rsidP="00902598">
                        <w:pPr>
                          <w:jc w:val="center"/>
                          <w:rPr>
                            <w:rFonts w:ascii="Georgia" w:hAnsi="Georgia"/>
                            <w:b/>
                            <w:bCs/>
                            <w:i/>
                            <w:iCs/>
                            <w:color w:val="FFFFFF"/>
                            <w:sz w:val="22"/>
                            <w:szCs w:val="22"/>
                          </w:rPr>
                        </w:pPr>
                        <w:r w:rsidRPr="000123FE">
                          <w:rPr>
                            <w:rFonts w:ascii="Georgia" w:hAnsi="Georgia"/>
                            <w:b/>
                            <w:bCs/>
                            <w:i/>
                            <w:iCs/>
                            <w:color w:val="FFFFFF"/>
                            <w:sz w:val="22"/>
                            <w:szCs w:val="22"/>
                          </w:rPr>
                          <w:t>Summary statement #1:</w:t>
                        </w:r>
                      </w:p>
                      <w:p w:rsidR="000123FE" w:rsidRPr="000123FE" w:rsidRDefault="000123FE" w:rsidP="00902598">
                        <w:pPr>
                          <w:jc w:val="center"/>
                          <w:rPr>
                            <w:rFonts w:ascii="Arial" w:eastAsiaTheme="minorHAnsi" w:hAnsi="Arial" w:cs="Arial"/>
                            <w:sz w:val="22"/>
                            <w:szCs w:val="22"/>
                          </w:rPr>
                        </w:pPr>
                        <w:r w:rsidRPr="000123FE">
                          <w:rPr>
                            <w:rFonts w:ascii="Georgia" w:hAnsi="Georgia"/>
                            <w:b/>
                            <w:bCs/>
                            <w:i/>
                            <w:iCs/>
                            <w:color w:val="FFFFFF"/>
                            <w:sz w:val="22"/>
                            <w:szCs w:val="22"/>
                          </w:rPr>
                          <w:t xml:space="preserve">Of those preschool children who entered the preschool program below age expectations in each Outcome, the percent of those preschool children who substantially increased their rate of growth </w:t>
                        </w:r>
                        <w:r w:rsidR="000264AA">
                          <w:rPr>
                            <w:rFonts w:ascii="Georgia" w:hAnsi="Georgia"/>
                            <w:b/>
                            <w:bCs/>
                            <w:i/>
                            <w:iCs/>
                            <w:color w:val="FFFFFF"/>
                            <w:sz w:val="22"/>
                            <w:szCs w:val="22"/>
                          </w:rPr>
                          <w:t xml:space="preserve">     </w:t>
                        </w:r>
                        <w:r w:rsidRPr="000123FE">
                          <w:rPr>
                            <w:rFonts w:ascii="Georgia" w:hAnsi="Georgia"/>
                            <w:b/>
                            <w:bCs/>
                            <w:i/>
                            <w:iCs/>
                            <w:color w:val="FFFFFF"/>
                            <w:sz w:val="22"/>
                            <w:szCs w:val="22"/>
                          </w:rPr>
                          <w:t xml:space="preserve">by the </w:t>
                        </w:r>
                        <w:r w:rsidR="000264AA">
                          <w:rPr>
                            <w:rFonts w:ascii="Georgia" w:hAnsi="Georgia"/>
                            <w:b/>
                            <w:bCs/>
                            <w:i/>
                            <w:iCs/>
                            <w:color w:val="FFFFFF"/>
                            <w:sz w:val="22"/>
                            <w:szCs w:val="22"/>
                          </w:rPr>
                          <w:t xml:space="preserve">time they aged out </w:t>
                        </w:r>
                        <w:r w:rsidRPr="000123FE">
                          <w:rPr>
                            <w:rFonts w:ascii="Georgia" w:hAnsi="Georgia"/>
                            <w:b/>
                            <w:bCs/>
                            <w:i/>
                            <w:iCs/>
                            <w:color w:val="FFFFFF"/>
                            <w:sz w:val="22"/>
                            <w:szCs w:val="22"/>
                          </w:rPr>
                          <w:t>or exited the program.</w:t>
                        </w:r>
                        <w:r w:rsidRPr="000123FE">
                          <w:rPr>
                            <w:rFonts w:ascii="Georgia" w:hAnsi="Georgia"/>
                            <w:b/>
                            <w:bCs/>
                            <w:color w:val="FFFFFF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  <w:tr w:rsidR="000123FE" w:rsidTr="000123FE">
                    <w:tc>
                      <w:tcPr>
                        <w:tcW w:w="12096" w:type="dxa"/>
                        <w:shd w:val="clear" w:color="auto" w:fill="CEDCE1"/>
                        <w:tcMar>
                          <w:top w:w="72" w:type="dxa"/>
                          <w:left w:w="149" w:type="dxa"/>
                          <w:bottom w:w="72" w:type="dxa"/>
                          <w:right w:w="149" w:type="dxa"/>
                        </w:tcMar>
                        <w:hideMark/>
                      </w:tcPr>
                      <w:p w:rsidR="000123FE" w:rsidRPr="000123FE" w:rsidRDefault="000123FE" w:rsidP="00902598">
                        <w:pPr>
                          <w:rPr>
                            <w:rFonts w:ascii="Arial" w:eastAsiaTheme="minorHAnsi" w:hAnsi="Arial" w:cs="Arial"/>
                            <w:sz w:val="22"/>
                            <w:szCs w:val="22"/>
                          </w:rPr>
                        </w:pPr>
                        <w:r w:rsidRPr="000123FE">
                          <w:rPr>
                            <w:rFonts w:ascii="Georgia" w:hAnsi="Georgi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In other words…</w:t>
                        </w:r>
                        <w:r w:rsidRPr="000123FE">
                          <w:rPr>
                            <w:rFonts w:ascii="Georgia" w:hAnsi="Georgia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0123FE" w:rsidRPr="000123FE" w:rsidRDefault="000123FE" w:rsidP="00902598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0123FE">
                          <w:rPr>
                            <w:rFonts w:ascii="Georgia" w:hAnsi="Georgia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How many children changed growth trajectories during their time in the program?</w:t>
                        </w:r>
                      </w:p>
                      <w:p w:rsidR="000123FE" w:rsidRPr="000123FE" w:rsidRDefault="000123FE" w:rsidP="00902598">
                        <w:pPr>
                          <w:rPr>
                            <w:rFonts w:ascii="Arial" w:eastAsiaTheme="minorHAnsi" w:hAnsi="Arial" w:cs="Arial"/>
                            <w:sz w:val="22"/>
                            <w:szCs w:val="22"/>
                          </w:rPr>
                        </w:pPr>
                        <w:r w:rsidRPr="000123FE">
                          <w:rPr>
                            <w:rFonts w:ascii="Georgia" w:hAnsi="Georgia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 xml:space="preserve">Percent of the children who made greater than expected gains, made substantial increases in their rates of growth, i.e. changed their growth trajectories. </w:t>
                        </w:r>
                      </w:p>
                    </w:tc>
                  </w:tr>
                  <w:tr w:rsidR="000123FE" w:rsidTr="000123FE">
                    <w:tc>
                      <w:tcPr>
                        <w:tcW w:w="12096" w:type="dxa"/>
                        <w:shd w:val="clear" w:color="auto" w:fill="E8EEF1"/>
                        <w:tcMar>
                          <w:top w:w="72" w:type="dxa"/>
                          <w:left w:w="149" w:type="dxa"/>
                          <w:bottom w:w="72" w:type="dxa"/>
                          <w:right w:w="149" w:type="dxa"/>
                        </w:tcMar>
                        <w:hideMark/>
                      </w:tcPr>
                      <w:p w:rsidR="000123FE" w:rsidRPr="000123FE" w:rsidRDefault="000123FE" w:rsidP="00902598">
                        <w:pPr>
                          <w:rPr>
                            <w:rFonts w:ascii="Arial" w:eastAsiaTheme="minorHAnsi" w:hAnsi="Arial" w:cs="Arial"/>
                            <w:sz w:val="22"/>
                            <w:szCs w:val="22"/>
                          </w:rPr>
                        </w:pPr>
                        <w:r w:rsidRPr="000123FE">
                          <w:rPr>
                            <w:rFonts w:ascii="Georgia" w:hAnsi="Georgi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Formula </w:t>
                        </w:r>
                        <w:proofErr w:type="spellStart"/>
                        <w:r w:rsidRPr="000123FE">
                          <w:rPr>
                            <w:rFonts w:ascii="Georgia" w:hAnsi="Georgi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c+d</w:t>
                        </w:r>
                        <w:proofErr w:type="spellEnd"/>
                        <w:r w:rsidRPr="000123FE">
                          <w:rPr>
                            <w:rFonts w:ascii="Georgia" w:hAnsi="Georgi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/</w:t>
                        </w:r>
                        <w:proofErr w:type="spellStart"/>
                        <w:r w:rsidRPr="000123FE">
                          <w:rPr>
                            <w:rFonts w:ascii="Georgia" w:hAnsi="Georgi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a+b+c+d</w:t>
                        </w:r>
                        <w:proofErr w:type="spellEnd"/>
                      </w:p>
                    </w:tc>
                  </w:tr>
                  <w:tr w:rsidR="000123FE" w:rsidTr="000123FE">
                    <w:tc>
                      <w:tcPr>
                        <w:tcW w:w="12096" w:type="dxa"/>
                        <w:shd w:val="clear" w:color="auto" w:fill="3891A7"/>
                        <w:tcMar>
                          <w:top w:w="72" w:type="dxa"/>
                          <w:left w:w="149" w:type="dxa"/>
                          <w:bottom w:w="72" w:type="dxa"/>
                          <w:right w:w="149" w:type="dxa"/>
                        </w:tcMar>
                        <w:vAlign w:val="center"/>
                        <w:hideMark/>
                      </w:tcPr>
                      <w:p w:rsidR="000123FE" w:rsidRPr="000264AA" w:rsidRDefault="000123FE" w:rsidP="00902598">
                        <w:pPr>
                          <w:jc w:val="center"/>
                          <w:rPr>
                            <w:rFonts w:ascii="Georgia" w:hAnsi="Georgia"/>
                            <w:b/>
                            <w:bCs/>
                            <w:i/>
                            <w:iCs/>
                            <w:color w:val="FFFFFF" w:themeColor="background1"/>
                            <w:sz w:val="22"/>
                            <w:szCs w:val="22"/>
                          </w:rPr>
                        </w:pPr>
                        <w:r w:rsidRPr="000264AA">
                          <w:rPr>
                            <w:rFonts w:ascii="Georgia" w:hAnsi="Georgia"/>
                            <w:b/>
                            <w:bCs/>
                            <w:i/>
                            <w:iCs/>
                            <w:color w:val="FFFFFF" w:themeColor="background1"/>
                            <w:sz w:val="22"/>
                            <w:szCs w:val="22"/>
                          </w:rPr>
                          <w:t>Summary statement #2:</w:t>
                        </w:r>
                      </w:p>
                      <w:p w:rsidR="00C2195D" w:rsidRPr="000264AA" w:rsidRDefault="00C2195D" w:rsidP="00C2195D">
                        <w:pPr>
                          <w:jc w:val="center"/>
                          <w:rPr>
                            <w:rFonts w:ascii="Georgia" w:eastAsiaTheme="minorHAnsi" w:hAnsi="Georgia"/>
                            <w:b/>
                            <w:i/>
                            <w:color w:val="FFFFFF" w:themeColor="background1"/>
                          </w:rPr>
                        </w:pPr>
                        <w:r w:rsidRPr="000264AA">
                          <w:rPr>
                            <w:rFonts w:ascii="Georgia" w:eastAsiaTheme="minorHAnsi" w:hAnsi="Georgia"/>
                            <w:b/>
                            <w:i/>
                            <w:color w:val="FFFFFF" w:themeColor="background1"/>
                          </w:rPr>
                          <w:t xml:space="preserve">The percent of children who were functioning within age expectations in each Outcome </w:t>
                        </w:r>
                      </w:p>
                      <w:p w:rsidR="000123FE" w:rsidRPr="00C2195D" w:rsidRDefault="00C2195D" w:rsidP="00C2195D">
                        <w:pPr>
                          <w:jc w:val="center"/>
                          <w:rPr>
                            <w:rFonts w:eastAsiaTheme="minorHAnsi"/>
                          </w:rPr>
                        </w:pPr>
                        <w:proofErr w:type="gramStart"/>
                        <w:r w:rsidRPr="000264AA">
                          <w:rPr>
                            <w:rFonts w:ascii="Georgia" w:eastAsiaTheme="minorHAnsi" w:hAnsi="Georgia"/>
                            <w:b/>
                            <w:i/>
                            <w:color w:val="FFFFFF" w:themeColor="background1"/>
                          </w:rPr>
                          <w:t>by</w:t>
                        </w:r>
                        <w:proofErr w:type="gramEnd"/>
                        <w:r w:rsidRPr="000264AA">
                          <w:rPr>
                            <w:rFonts w:ascii="Georgia" w:eastAsiaTheme="minorHAnsi" w:hAnsi="Georgia"/>
                            <w:b/>
                            <w:i/>
                            <w:color w:val="FFFFFF" w:themeColor="background1"/>
                          </w:rPr>
                          <w:t xml:space="preserve"> the time they exited the program.</w:t>
                        </w:r>
                      </w:p>
                    </w:tc>
                  </w:tr>
                  <w:tr w:rsidR="000123FE" w:rsidRPr="00DC63E3" w:rsidTr="000123FE">
                    <w:tc>
                      <w:tcPr>
                        <w:tcW w:w="12096" w:type="dxa"/>
                        <w:shd w:val="clear" w:color="auto" w:fill="E8EEF1"/>
                        <w:tcMar>
                          <w:top w:w="72" w:type="dxa"/>
                          <w:left w:w="149" w:type="dxa"/>
                          <w:bottom w:w="72" w:type="dxa"/>
                          <w:right w:w="149" w:type="dxa"/>
                        </w:tcMar>
                        <w:hideMark/>
                      </w:tcPr>
                      <w:p w:rsidR="000123FE" w:rsidRPr="000123FE" w:rsidRDefault="000123FE" w:rsidP="00902598">
                        <w:pPr>
                          <w:rPr>
                            <w:rFonts w:ascii="Georgia" w:eastAsiaTheme="minorHAnsi" w:hAnsi="Georgi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0123FE">
                          <w:rPr>
                            <w:rFonts w:ascii="Georgia" w:hAnsi="Georgi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In other words… </w:t>
                        </w:r>
                      </w:p>
                      <w:p w:rsidR="000123FE" w:rsidRDefault="000123FE" w:rsidP="00902598">
                        <w:pPr>
                          <w:rPr>
                            <w:rFonts w:ascii="Georgia" w:hAnsi="Georgia"/>
                            <w:bCs/>
                            <w:i/>
                            <w:color w:val="000000"/>
                            <w:sz w:val="22"/>
                            <w:szCs w:val="22"/>
                          </w:rPr>
                        </w:pPr>
                        <w:r w:rsidRPr="000123FE">
                          <w:rPr>
                            <w:rFonts w:ascii="Georgia" w:hAnsi="Georgia"/>
                            <w:bCs/>
                            <w:i/>
                            <w:color w:val="000000"/>
                            <w:sz w:val="22"/>
                            <w:szCs w:val="22"/>
                          </w:rPr>
                          <w:t>How many childr</w:t>
                        </w:r>
                        <w:r w:rsidR="005A2E7B">
                          <w:rPr>
                            <w:rFonts w:ascii="Georgia" w:hAnsi="Georgia"/>
                            <w:bCs/>
                            <w:i/>
                            <w:color w:val="000000"/>
                            <w:sz w:val="22"/>
                            <w:szCs w:val="22"/>
                          </w:rPr>
                          <w:t>en functioned within the broad range of what is age-expected when they left the program?</w:t>
                        </w:r>
                      </w:p>
                      <w:p w:rsidR="005A2E7B" w:rsidRPr="000123FE" w:rsidRDefault="005A2E7B" w:rsidP="00902598">
                        <w:pPr>
                          <w:rPr>
                            <w:rFonts w:ascii="Georgia" w:hAnsi="Georgia"/>
                            <w:bCs/>
                            <w:i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Georgia" w:hAnsi="Georgia"/>
                            <w:bCs/>
                            <w:i/>
                            <w:color w:val="000000"/>
                            <w:sz w:val="22"/>
                            <w:szCs w:val="22"/>
                          </w:rPr>
                          <w:t>What percent of children functioned at an age-expected level on this outcome at exit?</w:t>
                        </w:r>
                      </w:p>
                      <w:p w:rsidR="000264AA" w:rsidRDefault="005A2E7B" w:rsidP="000264AA">
                        <w:pPr>
                          <w:rPr>
                            <w:rFonts w:ascii="Georgia" w:hAnsi="Georgia"/>
                            <w:bCs/>
                            <w:i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Georgia" w:hAnsi="Georgia"/>
                            <w:bCs/>
                            <w:i/>
                            <w:color w:val="000000"/>
                            <w:sz w:val="22"/>
                            <w:szCs w:val="22"/>
                          </w:rPr>
                          <w:t xml:space="preserve">Includes </w:t>
                        </w:r>
                        <w:r w:rsidR="000264AA">
                          <w:rPr>
                            <w:rFonts w:ascii="Georgia" w:hAnsi="Georgia"/>
                            <w:bCs/>
                            <w:i/>
                            <w:color w:val="000000"/>
                            <w:sz w:val="22"/>
                            <w:szCs w:val="22"/>
                          </w:rPr>
                          <w:t xml:space="preserve">two groups:   </w:t>
                        </w:r>
                        <w:r>
                          <w:rPr>
                            <w:rFonts w:ascii="Georgia" w:hAnsi="Georgia"/>
                            <w:bCs/>
                            <w:i/>
                            <w:color w:val="000000"/>
                            <w:sz w:val="22"/>
                            <w:szCs w:val="22"/>
                          </w:rPr>
                          <w:t xml:space="preserve">those who started below age expectations and “caught up” and </w:t>
                        </w:r>
                        <w:r w:rsidR="000264AA">
                          <w:rPr>
                            <w:rFonts w:ascii="Georgia" w:hAnsi="Georgia"/>
                            <w:bCs/>
                            <w:i/>
                            <w:color w:val="000000"/>
                            <w:sz w:val="22"/>
                            <w:szCs w:val="22"/>
                          </w:rPr>
                          <w:t xml:space="preserve">                                                                                         </w:t>
                        </w:r>
                        <w:r>
                          <w:rPr>
                            <w:rFonts w:ascii="Georgia" w:hAnsi="Georgia"/>
                            <w:bCs/>
                            <w:i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0123FE" w:rsidRPr="000123FE" w:rsidRDefault="000264AA" w:rsidP="000264AA">
                        <w:pPr>
                          <w:rPr>
                            <w:rFonts w:ascii="Georgia" w:eastAsiaTheme="minorHAnsi" w:hAnsi="Georgi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Georgia" w:hAnsi="Georgia"/>
                            <w:bCs/>
                            <w:i/>
                            <w:color w:val="000000"/>
                            <w:sz w:val="22"/>
                            <w:szCs w:val="22"/>
                          </w:rPr>
                          <w:t xml:space="preserve">                                         </w:t>
                        </w:r>
                        <w:proofErr w:type="gramStart"/>
                        <w:r w:rsidR="005A2E7B">
                          <w:rPr>
                            <w:rFonts w:ascii="Georgia" w:hAnsi="Georgia"/>
                            <w:bCs/>
                            <w:i/>
                            <w:color w:val="000000"/>
                            <w:sz w:val="22"/>
                            <w:szCs w:val="22"/>
                          </w:rPr>
                          <w:t>those</w:t>
                        </w:r>
                        <w:proofErr w:type="gramEnd"/>
                        <w:r w:rsidR="005A2E7B">
                          <w:rPr>
                            <w:rFonts w:ascii="Georgia" w:hAnsi="Georgia"/>
                            <w:bCs/>
                            <w:i/>
                            <w:color w:val="000000"/>
                            <w:sz w:val="22"/>
                            <w:szCs w:val="22"/>
                          </w:rPr>
                          <w:t xml:space="preserve"> who </w:t>
                        </w:r>
                        <w:r>
                          <w:rPr>
                            <w:rFonts w:ascii="Georgia" w:hAnsi="Georgia"/>
                            <w:bCs/>
                            <w:i/>
                            <w:color w:val="000000"/>
                            <w:sz w:val="22"/>
                            <w:szCs w:val="22"/>
                          </w:rPr>
                          <w:t>both entered and exited at age-level expectations in this outcome area.</w:t>
                        </w:r>
                        <w:r w:rsidR="000123FE" w:rsidRPr="000123FE">
                          <w:rPr>
                            <w:rFonts w:ascii="Georgia" w:hAnsi="Georgi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  <w:tr w:rsidR="000123FE" w:rsidTr="000123FE">
                    <w:tc>
                      <w:tcPr>
                        <w:tcW w:w="12096" w:type="dxa"/>
                        <w:shd w:val="clear" w:color="auto" w:fill="E8EEF1"/>
                        <w:tcMar>
                          <w:top w:w="72" w:type="dxa"/>
                          <w:left w:w="149" w:type="dxa"/>
                          <w:bottom w:w="72" w:type="dxa"/>
                          <w:right w:w="149" w:type="dxa"/>
                        </w:tcMar>
                        <w:hideMark/>
                      </w:tcPr>
                      <w:p w:rsidR="000123FE" w:rsidRPr="000123FE" w:rsidRDefault="000123FE" w:rsidP="00902598">
                        <w:pPr>
                          <w:rPr>
                            <w:rFonts w:ascii="Georgia" w:eastAsiaTheme="minorHAnsi" w:hAnsi="Georgi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0123FE">
                          <w:rPr>
                            <w:rFonts w:ascii="Georgia" w:hAnsi="Georgi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Formula </w:t>
                        </w:r>
                        <w:proofErr w:type="spellStart"/>
                        <w:r w:rsidRPr="000123FE">
                          <w:rPr>
                            <w:rFonts w:ascii="Georgia" w:hAnsi="Georgi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d+e</w:t>
                        </w:r>
                        <w:proofErr w:type="spellEnd"/>
                        <w:r w:rsidRPr="000123FE">
                          <w:rPr>
                            <w:rFonts w:ascii="Georgia" w:hAnsi="Georgi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/</w:t>
                        </w:r>
                        <w:proofErr w:type="spellStart"/>
                        <w:r w:rsidRPr="000123FE">
                          <w:rPr>
                            <w:rFonts w:ascii="Georgia" w:hAnsi="Georgi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a+b+c+d+e</w:t>
                        </w:r>
                        <w:proofErr w:type="spellEnd"/>
                      </w:p>
                    </w:tc>
                  </w:tr>
                </w:tbl>
                <w:p w:rsidR="000123FE" w:rsidRDefault="000123FE"/>
              </w:txbxContent>
            </v:textbox>
          </v:shape>
        </w:pict>
      </w:r>
      <w:r w:rsidR="00C4337D">
        <w:rPr>
          <w:noProof/>
          <w:lang w:eastAsia="zh-TW"/>
        </w:rPr>
        <w:pict>
          <v:shape id="_x0000_s1028" type="#_x0000_t202" style="position:absolute;margin-left:488.75pt;margin-top:-31.05pt;width:613.6pt;height:429.55pt;z-index:251664384;mso-width-relative:margin;mso-height-relative:margin" stroked="f">
            <v:textbox style="mso-next-textbox:#_x0000_s1028">
              <w:txbxContent>
                <w:p w:rsidR="000123FE" w:rsidRDefault="000123FE"/>
                <w:tbl>
                  <w:tblPr>
                    <w:tblW w:w="11952" w:type="dxa"/>
                    <w:tblInd w:w="94" w:type="dxa"/>
                    <w:tblLook w:val="04A0" w:firstRow="1" w:lastRow="0" w:firstColumn="1" w:lastColumn="0" w:noHBand="0" w:noVBand="1"/>
                  </w:tblPr>
                  <w:tblGrid>
                    <w:gridCol w:w="11952"/>
                  </w:tblGrid>
                  <w:tr w:rsidR="000123FE" w:rsidRPr="004B4AFE" w:rsidTr="000123FE">
                    <w:trPr>
                      <w:trHeight w:val="600"/>
                    </w:trPr>
                    <w:tc>
                      <w:tcPr>
                        <w:tcW w:w="11952" w:type="dxa"/>
                        <w:tcBorders>
                          <w:top w:val="nil"/>
                          <w:left w:val="nil"/>
                          <w:bottom w:val="single" w:sz="12" w:space="0" w:color="auto"/>
                          <w:right w:val="nil"/>
                        </w:tcBorders>
                        <w:shd w:val="clear" w:color="000000" w:fill="92D050"/>
                        <w:noWrap/>
                        <w:vAlign w:val="center"/>
                        <w:hideMark/>
                      </w:tcPr>
                      <w:p w:rsidR="000123FE" w:rsidRPr="004B4AFE" w:rsidRDefault="000123FE" w:rsidP="000123FE">
                        <w:pPr>
                          <w:ind w:left="356" w:hanging="356"/>
                          <w:jc w:val="center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0264AA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8"/>
                            <w:szCs w:val="22"/>
                          </w:rPr>
                          <w:t>Progress Categories</w:t>
                        </w:r>
                      </w:p>
                    </w:tc>
                  </w:tr>
                  <w:tr w:rsidR="000123FE" w:rsidRPr="004B4AFE" w:rsidTr="000123FE">
                    <w:trPr>
                      <w:trHeight w:val="1260"/>
                    </w:trPr>
                    <w:tc>
                      <w:tcPr>
                        <w:tcW w:w="1195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123FE" w:rsidRPr="004B4AFE" w:rsidRDefault="000123FE" w:rsidP="000123FE">
                        <w:pPr>
                          <w:ind w:left="356" w:hanging="356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4B4AFE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A - Percent of preschool children who did not improve functioning</w:t>
                        </w:r>
                      </w:p>
                      <w:p w:rsidR="000123FE" w:rsidRPr="004B4AFE" w:rsidRDefault="000123FE" w:rsidP="000123FE">
                        <w:pPr>
                          <w:ind w:left="356" w:hanging="356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B4AF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Children who acquired no new skills or regressed during their time in the program</w:t>
                        </w:r>
                      </w:p>
                      <w:p w:rsidR="000123FE" w:rsidRPr="004B4AFE" w:rsidRDefault="000123FE" w:rsidP="000123FE">
                        <w:pPr>
                          <w:ind w:left="356" w:hanging="356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B4AF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Didn’t gain or use even one new skill</w:t>
                        </w:r>
                      </w:p>
                      <w:p w:rsidR="000123FE" w:rsidRPr="004B4AFE" w:rsidRDefault="000123FE" w:rsidP="005A2E7B">
                        <w:pPr>
                          <w:ind w:left="356" w:hanging="356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4B4AF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Children with degenerative conditions/ significant disabilities</w:t>
                        </w:r>
                        <w:r w:rsidR="00BF0B33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 xml:space="preserve"> acquiring</w:t>
                        </w:r>
                        <w:r w:rsidR="005A2E7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 xml:space="preserve"> no</w:t>
                        </w:r>
                        <w:r w:rsidR="00D3581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 xml:space="preserve"> new skills or regress</w:t>
                        </w:r>
                        <w:r w:rsidR="005A2E7B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ing</w:t>
                        </w:r>
                      </w:p>
                    </w:tc>
                  </w:tr>
                  <w:tr w:rsidR="000123FE" w:rsidRPr="004B4AFE" w:rsidTr="000123FE">
                    <w:trPr>
                      <w:trHeight w:val="330"/>
                    </w:trPr>
                    <w:tc>
                      <w:tcPr>
                        <w:tcW w:w="11952" w:type="dxa"/>
                        <w:tcBorders>
                          <w:top w:val="single" w:sz="12" w:space="0" w:color="auto"/>
                          <w:left w:val="nil"/>
                          <w:bottom w:val="single" w:sz="12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123FE" w:rsidRPr="004B4AFE" w:rsidRDefault="000123FE" w:rsidP="00C2195D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123FE" w:rsidRPr="004B4AFE" w:rsidTr="000123FE">
                    <w:trPr>
                      <w:trHeight w:val="960"/>
                    </w:trPr>
                    <w:tc>
                      <w:tcPr>
                        <w:tcW w:w="1195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123FE" w:rsidRPr="004B4AFE" w:rsidRDefault="000123FE" w:rsidP="000123FE">
                        <w:pPr>
                          <w:ind w:left="356" w:hanging="356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4B4AFE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B - Percent of preschool children who improved functioning but not sufficient to move nearer to functioning comparable to same-aged peers </w:t>
                        </w:r>
                      </w:p>
                      <w:p w:rsidR="000123FE" w:rsidRPr="004B4AFE" w:rsidRDefault="000123FE" w:rsidP="000123FE">
                        <w:pPr>
                          <w:ind w:left="356" w:hanging="356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B4AF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 xml:space="preserve">Children who acquired new skills but continued to grow at the same rate throughout their time in the program </w:t>
                        </w:r>
                      </w:p>
                      <w:p w:rsidR="000123FE" w:rsidRPr="004B4AFE" w:rsidRDefault="000123FE" w:rsidP="000123FE">
                        <w:pPr>
                          <w:ind w:left="356" w:hanging="356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4B4AF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Gained and used new skills but did not increase their rate of growth or change their growth trajectories while in services</w:t>
                        </w:r>
                      </w:p>
                    </w:tc>
                  </w:tr>
                  <w:tr w:rsidR="000123FE" w:rsidRPr="004B4AFE" w:rsidTr="000123FE">
                    <w:trPr>
                      <w:trHeight w:val="330"/>
                    </w:trPr>
                    <w:tc>
                      <w:tcPr>
                        <w:tcW w:w="11952" w:type="dxa"/>
                        <w:tcBorders>
                          <w:top w:val="single" w:sz="12" w:space="0" w:color="auto"/>
                          <w:left w:val="nil"/>
                          <w:bottom w:val="single" w:sz="12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123FE" w:rsidRPr="004B4AFE" w:rsidRDefault="000123FE" w:rsidP="000123FE">
                        <w:pPr>
                          <w:ind w:left="356" w:hanging="356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123FE" w:rsidRPr="004B4AFE" w:rsidTr="000123FE">
                    <w:trPr>
                      <w:trHeight w:val="1260"/>
                    </w:trPr>
                    <w:tc>
                      <w:tcPr>
                        <w:tcW w:w="1195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123FE" w:rsidRPr="004B4AFE" w:rsidRDefault="000123FE" w:rsidP="000123FE">
                        <w:pPr>
                          <w:ind w:left="356" w:hanging="356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4B4AFE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C - Percent of preschool children who improved functioning to a level nearer to same-aged peers but did not reach it </w:t>
                        </w:r>
                      </w:p>
                      <w:p w:rsidR="000123FE" w:rsidRPr="004B4AFE" w:rsidRDefault="000123FE" w:rsidP="000123FE">
                        <w:pPr>
                          <w:ind w:left="356" w:hanging="356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B4AF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Children who acquired new skills but accelerated their rate of growth during their time in the program</w:t>
                        </w:r>
                      </w:p>
                      <w:p w:rsidR="000123FE" w:rsidRPr="004B4AFE" w:rsidRDefault="000123FE" w:rsidP="000123FE">
                        <w:pPr>
                          <w:ind w:left="356" w:hanging="356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B4AF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Made progress toward catching up with same aged peers but were still functioning below age expectations when they left the program</w:t>
                        </w:r>
                      </w:p>
                      <w:p w:rsidR="000123FE" w:rsidRPr="004B4AFE" w:rsidRDefault="000123FE" w:rsidP="000123FE">
                        <w:pPr>
                          <w:ind w:left="356" w:hanging="356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4B4AF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Changed their growth trajectories --“narrowed the gap”</w:t>
                        </w:r>
                      </w:p>
                    </w:tc>
                  </w:tr>
                  <w:tr w:rsidR="000123FE" w:rsidRPr="004B4AFE" w:rsidTr="000123FE">
                    <w:trPr>
                      <w:trHeight w:val="330"/>
                    </w:trPr>
                    <w:tc>
                      <w:tcPr>
                        <w:tcW w:w="11952" w:type="dxa"/>
                        <w:tcBorders>
                          <w:top w:val="single" w:sz="12" w:space="0" w:color="auto"/>
                          <w:left w:val="nil"/>
                          <w:bottom w:val="single" w:sz="12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123FE" w:rsidRPr="004B4AFE" w:rsidRDefault="000123FE" w:rsidP="000123FE">
                        <w:pPr>
                          <w:ind w:left="356" w:hanging="356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123FE" w:rsidRPr="004B4AFE" w:rsidTr="000123FE">
                    <w:trPr>
                      <w:trHeight w:val="960"/>
                    </w:trPr>
                    <w:tc>
                      <w:tcPr>
                        <w:tcW w:w="1195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123FE" w:rsidRPr="004B4AFE" w:rsidRDefault="000123FE" w:rsidP="000123FE">
                        <w:pPr>
                          <w:ind w:left="356" w:hanging="356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4B4AFE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D - Percent of preschool children who improved functioning to reach a level comparable to same-aged peers </w:t>
                        </w:r>
                      </w:p>
                      <w:p w:rsidR="000123FE" w:rsidRPr="004B4AFE" w:rsidRDefault="000123FE" w:rsidP="000123FE">
                        <w:pPr>
                          <w:ind w:left="356" w:hanging="356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B4AF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Children who were functioning below age expectations when they entered the program but were functioning at age expectations when they left</w:t>
                        </w:r>
                      </w:p>
                      <w:p w:rsidR="000123FE" w:rsidRPr="004B4AFE" w:rsidRDefault="000123FE" w:rsidP="000123FE">
                        <w:pPr>
                          <w:ind w:left="356" w:hanging="356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4B4AF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Started out below age expectations, but caught up while in services</w:t>
                        </w:r>
                      </w:p>
                    </w:tc>
                  </w:tr>
                  <w:tr w:rsidR="000123FE" w:rsidRPr="004B4AFE" w:rsidTr="000123FE">
                    <w:trPr>
                      <w:trHeight w:val="330"/>
                    </w:trPr>
                    <w:tc>
                      <w:tcPr>
                        <w:tcW w:w="11952" w:type="dxa"/>
                        <w:tcBorders>
                          <w:top w:val="single" w:sz="12" w:space="0" w:color="auto"/>
                          <w:left w:val="nil"/>
                          <w:bottom w:val="single" w:sz="12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123FE" w:rsidRPr="004B4AFE" w:rsidRDefault="000123FE" w:rsidP="000123FE">
                        <w:pPr>
                          <w:ind w:left="356" w:hanging="356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123FE" w:rsidRPr="004B4AFE" w:rsidTr="000123FE">
                    <w:trPr>
                      <w:trHeight w:val="960"/>
                    </w:trPr>
                    <w:tc>
                      <w:tcPr>
                        <w:tcW w:w="1195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123FE" w:rsidRPr="004B4AFE" w:rsidRDefault="000123FE" w:rsidP="000123FE">
                        <w:pPr>
                          <w:ind w:left="356" w:hanging="356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B4AFE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E - Percent of preschool children who maintained functioning at a level comparable to same-aged peers</w:t>
                        </w:r>
                      </w:p>
                      <w:p w:rsidR="000123FE" w:rsidRPr="004B4AFE" w:rsidRDefault="000123FE" w:rsidP="000123FE">
                        <w:pPr>
                          <w:ind w:left="356" w:hanging="356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B4AF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Children who were functioning at age expectations when they entered the program and were functioning at age expectations when they left</w:t>
                        </w:r>
                      </w:p>
                      <w:p w:rsidR="000123FE" w:rsidRPr="004B4AFE" w:rsidRDefault="000123FE" w:rsidP="000123FE">
                        <w:pPr>
                          <w:ind w:left="356" w:hanging="356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B4AF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Entered the program at age expectations and were still up with age expectations at exit</w:t>
                        </w:r>
                      </w:p>
                    </w:tc>
                  </w:tr>
                </w:tbl>
                <w:p w:rsidR="000123FE" w:rsidRDefault="000123FE"/>
              </w:txbxContent>
            </v:textbox>
          </v:shape>
        </w:pict>
      </w:r>
      <w:r w:rsidR="00C4337D">
        <w:rPr>
          <w:noProof/>
          <w:lang w:eastAsia="zh-TW"/>
        </w:rPr>
        <w:pict>
          <v:shape id="_x0000_s1026" type="#_x0000_t202" style="position:absolute;margin-left:-33.35pt;margin-top:-31.05pt;width:269.2pt;height:702pt;z-index:251660288;mso-width-relative:margin;mso-height-relative:margin" stroked="f">
            <v:textbox style="mso-next-textbox:#_x0000_s1026">
              <w:txbxContent>
                <w:p w:rsidR="000123FE" w:rsidRDefault="000123FE"/>
                <w:tbl>
                  <w:tblPr>
                    <w:tblW w:w="5040" w:type="dxa"/>
                    <w:tblInd w:w="86" w:type="dxa"/>
                    <w:tblLook w:val="04A0" w:firstRow="1" w:lastRow="0" w:firstColumn="1" w:lastColumn="0" w:noHBand="0" w:noVBand="1"/>
                  </w:tblPr>
                  <w:tblGrid>
                    <w:gridCol w:w="5040"/>
                  </w:tblGrid>
                  <w:tr w:rsidR="000123FE" w:rsidRPr="008264C3" w:rsidTr="000123FE">
                    <w:tc>
                      <w:tcPr>
                        <w:tcW w:w="50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C000"/>
                        <w:noWrap/>
                        <w:vAlign w:val="center"/>
                        <w:hideMark/>
                      </w:tcPr>
                      <w:p w:rsidR="000123FE" w:rsidRPr="008264C3" w:rsidRDefault="00C4337D" w:rsidP="00902598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8"/>
                            <w:szCs w:val="22"/>
                          </w:rPr>
                          <w:t>COS</w:t>
                        </w:r>
                        <w:r w:rsidR="000123FE" w:rsidRPr="000264AA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8"/>
                            <w:szCs w:val="22"/>
                          </w:rPr>
                          <w:t xml:space="preserve"> 1-7 Rating Definitions</w:t>
                        </w:r>
                      </w:p>
                    </w:tc>
                  </w:tr>
                  <w:tr w:rsidR="000123FE" w:rsidRPr="008264C3" w:rsidTr="000123FE">
                    <w:tc>
                      <w:tcPr>
                        <w:tcW w:w="504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00"/>
                        <w:noWrap/>
                        <w:vAlign w:val="center"/>
                        <w:hideMark/>
                      </w:tcPr>
                      <w:p w:rsidR="000123FE" w:rsidRPr="008264C3" w:rsidRDefault="000123FE" w:rsidP="00902598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8264C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Completely - 7</w:t>
                        </w:r>
                      </w:p>
                    </w:tc>
                  </w:tr>
                  <w:tr w:rsidR="000123FE" w:rsidRPr="008264C3" w:rsidTr="000123FE">
                    <w:tc>
                      <w:tcPr>
                        <w:tcW w:w="50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123FE" w:rsidRPr="008264C3" w:rsidRDefault="000123FE" w:rsidP="00902598">
                        <w:pPr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  <w:r w:rsidRPr="008264C3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Child shows functioning expected for his</w:t>
                        </w:r>
                        <w:r w:rsidRPr="000123FE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8264C3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 xml:space="preserve">or her age in </w:t>
                        </w:r>
                        <w:r w:rsidRPr="008264C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all or almost all everyday</w:t>
                        </w:r>
                        <w:r w:rsidRPr="000123FE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8264C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situations </w:t>
                        </w:r>
                        <w:r w:rsidRPr="008264C3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that are part of the child’s life.</w:t>
                        </w:r>
                        <w:r w:rsidRPr="000123FE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8264C3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 xml:space="preserve">Functioning is considered </w:t>
                        </w:r>
                        <w:r w:rsidRPr="008264C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appropriate </w:t>
                        </w:r>
                        <w:r w:rsidRPr="008264C3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for</w:t>
                        </w:r>
                        <w:r w:rsidRPr="000123FE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8264C3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his or her age. No one has any concerns</w:t>
                        </w:r>
                        <w:r w:rsidRPr="000123FE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8264C3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about the child’s functioning in this</w:t>
                        </w:r>
                        <w:r w:rsidRPr="000123FE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8264C3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 xml:space="preserve">outcome area. </w:t>
                        </w:r>
                      </w:p>
                    </w:tc>
                  </w:tr>
                  <w:tr w:rsidR="000123FE" w:rsidRPr="008264C3" w:rsidTr="000123FE">
                    <w:tc>
                      <w:tcPr>
                        <w:tcW w:w="504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00"/>
                        <w:noWrap/>
                        <w:vAlign w:val="center"/>
                        <w:hideMark/>
                      </w:tcPr>
                      <w:p w:rsidR="000123FE" w:rsidRPr="008264C3" w:rsidRDefault="000123FE" w:rsidP="00902598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8264C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</w:tr>
                  <w:tr w:rsidR="000123FE" w:rsidRPr="008264C3" w:rsidTr="000123FE">
                    <w:tc>
                      <w:tcPr>
                        <w:tcW w:w="50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123FE" w:rsidRPr="008264C3" w:rsidRDefault="000123FE" w:rsidP="00902598">
                        <w:pPr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  <w:r w:rsidRPr="008264C3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Child’s functioning generally is</w:t>
                        </w:r>
                        <w:r w:rsidRPr="000123FE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8264C3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 xml:space="preserve">considered </w:t>
                        </w:r>
                        <w:r w:rsidRPr="008264C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appropriate </w:t>
                        </w:r>
                        <w:r w:rsidRPr="008264C3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for his or her age</w:t>
                        </w:r>
                        <w:r w:rsidRPr="000123FE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8264C3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 xml:space="preserve">but there are </w:t>
                        </w:r>
                        <w:r w:rsidRPr="008264C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some significant concerns</w:t>
                        </w:r>
                        <w:r w:rsidRPr="000123FE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8264C3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about the child’s functioning in this</w:t>
                        </w:r>
                        <w:r w:rsidRPr="000123FE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8264C3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outcome area. These concerns are</w:t>
                        </w:r>
                        <w:r w:rsidRPr="000123FE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8264C3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substantial enough to suggest monitoring</w:t>
                        </w:r>
                        <w:r w:rsidRPr="000123FE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8264C3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or possible additional support. Although</w:t>
                        </w:r>
                        <w:r w:rsidRPr="000123FE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8264C3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age-appropriate, the child’s functioning</w:t>
                        </w:r>
                        <w:r w:rsidRPr="000123FE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8264C3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may border on not keeping pace with age</w:t>
                        </w:r>
                        <w:r w:rsidRPr="000123FE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8264C3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 xml:space="preserve">expectations. </w:t>
                        </w:r>
                      </w:p>
                    </w:tc>
                  </w:tr>
                  <w:tr w:rsidR="000123FE" w:rsidRPr="008264C3" w:rsidTr="000123FE">
                    <w:tc>
                      <w:tcPr>
                        <w:tcW w:w="504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00"/>
                        <w:noWrap/>
                        <w:vAlign w:val="bottom"/>
                        <w:hideMark/>
                      </w:tcPr>
                      <w:p w:rsidR="000123FE" w:rsidRPr="008264C3" w:rsidRDefault="000123FE" w:rsidP="00902598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8264C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Somewhat - 5</w:t>
                        </w:r>
                      </w:p>
                    </w:tc>
                  </w:tr>
                  <w:tr w:rsidR="000123FE" w:rsidRPr="008264C3" w:rsidTr="000123FE">
                    <w:tc>
                      <w:tcPr>
                        <w:tcW w:w="50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123FE" w:rsidRPr="008264C3" w:rsidRDefault="000123FE" w:rsidP="00902598">
                        <w:pPr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  <w:r w:rsidRPr="008264C3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Child shows functioning expected for his</w:t>
                        </w:r>
                        <w:r w:rsidRPr="000123FE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8264C3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 xml:space="preserve">or her age </w:t>
                        </w:r>
                        <w:r w:rsidRPr="008264C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some of the time and/or in</w:t>
                        </w:r>
                        <w:r w:rsidRPr="000123FE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8264C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some situations</w:t>
                        </w:r>
                        <w:r w:rsidRPr="008264C3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. Child’s functioning is a</w:t>
                        </w:r>
                        <w:r w:rsidRPr="000123FE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8264C3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mix of age appropriate and not</w:t>
                        </w:r>
                        <w:r w:rsidRPr="000123FE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8264C3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appropriate behaviors and skills. Child’s</w:t>
                        </w:r>
                        <w:r w:rsidRPr="000123FE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8264C3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functioning might be described as like that</w:t>
                        </w:r>
                        <w:r w:rsidRPr="000123FE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8264C3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 xml:space="preserve">of a </w:t>
                        </w:r>
                        <w:r w:rsidRPr="008264C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slightly younger child*.</w:t>
                        </w:r>
                      </w:p>
                    </w:tc>
                  </w:tr>
                  <w:tr w:rsidR="000123FE" w:rsidRPr="008264C3" w:rsidTr="000123FE">
                    <w:tc>
                      <w:tcPr>
                        <w:tcW w:w="504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00"/>
                        <w:noWrap/>
                        <w:vAlign w:val="bottom"/>
                        <w:hideMark/>
                      </w:tcPr>
                      <w:p w:rsidR="000123FE" w:rsidRPr="008264C3" w:rsidRDefault="000123FE" w:rsidP="00902598">
                        <w:pP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8264C3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</w:tr>
                  <w:tr w:rsidR="000123FE" w:rsidRPr="008264C3" w:rsidTr="000123FE">
                    <w:tc>
                      <w:tcPr>
                        <w:tcW w:w="50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123FE" w:rsidRPr="008264C3" w:rsidRDefault="000123FE" w:rsidP="00902598">
                        <w:pPr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  <w:r w:rsidRPr="008264C3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Child shows occasional age-appropriate</w:t>
                        </w:r>
                        <w:r w:rsidRPr="000123FE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8264C3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functioning across settings and situations.</w:t>
                        </w:r>
                        <w:r w:rsidRPr="000123FE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8264C3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 xml:space="preserve">More functioning is </w:t>
                        </w:r>
                        <w:r w:rsidRPr="008264C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not </w:t>
                        </w:r>
                        <w:r w:rsidRPr="008264C3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age-appropriate</w:t>
                        </w:r>
                        <w:r w:rsidRPr="000123FE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8264C3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 xml:space="preserve">than appropriate. </w:t>
                        </w:r>
                      </w:p>
                    </w:tc>
                  </w:tr>
                  <w:tr w:rsidR="000123FE" w:rsidRPr="008264C3" w:rsidTr="000123FE">
                    <w:tc>
                      <w:tcPr>
                        <w:tcW w:w="504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00"/>
                        <w:noWrap/>
                        <w:vAlign w:val="bottom"/>
                        <w:hideMark/>
                      </w:tcPr>
                      <w:p w:rsidR="000123FE" w:rsidRPr="008264C3" w:rsidRDefault="000123FE" w:rsidP="00902598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8264C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Nearly - 3</w:t>
                        </w:r>
                      </w:p>
                    </w:tc>
                  </w:tr>
                  <w:tr w:rsidR="000123FE" w:rsidRPr="008264C3" w:rsidTr="000123FE">
                    <w:tc>
                      <w:tcPr>
                        <w:tcW w:w="50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123FE" w:rsidRPr="008264C3" w:rsidRDefault="000123FE" w:rsidP="00902598">
                        <w:pPr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  <w:r w:rsidRPr="008264C3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 xml:space="preserve">Child does </w:t>
                        </w:r>
                        <w:r w:rsidRPr="008264C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not yet </w:t>
                        </w:r>
                        <w:r w:rsidRPr="008264C3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show functioning</w:t>
                        </w:r>
                        <w:r w:rsidRPr="000123FE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8264C3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expected of a child of his or her age in any</w:t>
                        </w:r>
                        <w:r w:rsidRPr="000123FE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8264C3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 xml:space="preserve">situation. Child uses </w:t>
                        </w:r>
                        <w:r w:rsidRPr="008264C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immediate</w:t>
                        </w:r>
                        <w:r w:rsidRPr="000123FE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8264C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foundational skills, </w:t>
                        </w:r>
                        <w:r w:rsidRPr="008264C3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most or all of the</w:t>
                        </w:r>
                        <w:r w:rsidRPr="000123FE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8264C3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time, across settings and situations.</w:t>
                        </w:r>
                        <w:r w:rsidRPr="000123FE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8264C3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Immediate foundational skills are the skills</w:t>
                        </w:r>
                        <w:r w:rsidRPr="000123FE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8264C3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upon which to build age-appropriate</w:t>
                        </w:r>
                        <w:r w:rsidRPr="000123FE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8264C3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functioning. Functioning might be</w:t>
                        </w:r>
                        <w:r w:rsidRPr="000123FE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8264C3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 xml:space="preserve">described as like that of a </w:t>
                        </w:r>
                        <w:r w:rsidRPr="008264C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younger child*.</w:t>
                        </w:r>
                      </w:p>
                    </w:tc>
                  </w:tr>
                  <w:tr w:rsidR="000123FE" w:rsidRPr="008264C3" w:rsidTr="000123FE">
                    <w:tc>
                      <w:tcPr>
                        <w:tcW w:w="504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00"/>
                        <w:noWrap/>
                        <w:vAlign w:val="bottom"/>
                        <w:hideMark/>
                      </w:tcPr>
                      <w:p w:rsidR="000123FE" w:rsidRPr="008264C3" w:rsidRDefault="000123FE" w:rsidP="00902598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8264C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</w:tr>
                  <w:tr w:rsidR="000123FE" w:rsidRPr="008264C3" w:rsidTr="000123FE">
                    <w:tc>
                      <w:tcPr>
                        <w:tcW w:w="50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123FE" w:rsidRPr="008264C3" w:rsidRDefault="000123FE" w:rsidP="00902598">
                        <w:pPr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  <w:r w:rsidRPr="008264C3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 xml:space="preserve">Child occasionally uses </w:t>
                        </w:r>
                        <w:r w:rsidRPr="008264C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immediate</w:t>
                        </w:r>
                        <w:r w:rsidRPr="000123FE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8264C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foundational skills </w:t>
                        </w:r>
                        <w:r w:rsidRPr="008264C3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across settings and</w:t>
                        </w:r>
                        <w:r w:rsidRPr="000123FE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8264C3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situations. More functioning reflects skills</w:t>
                        </w:r>
                        <w:r w:rsidRPr="000123FE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8264C3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 xml:space="preserve">that are </w:t>
                        </w:r>
                        <w:r w:rsidRPr="008264C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not </w:t>
                        </w:r>
                        <w:r w:rsidRPr="008264C3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immediate foundational than</w:t>
                        </w:r>
                        <w:r w:rsidRPr="000123FE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8264C3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are immediate foundational.</w:t>
                        </w:r>
                      </w:p>
                    </w:tc>
                  </w:tr>
                  <w:tr w:rsidR="000123FE" w:rsidRPr="008264C3" w:rsidTr="000123FE">
                    <w:tc>
                      <w:tcPr>
                        <w:tcW w:w="504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00"/>
                        <w:noWrap/>
                        <w:vAlign w:val="bottom"/>
                        <w:hideMark/>
                      </w:tcPr>
                      <w:p w:rsidR="000123FE" w:rsidRPr="008264C3" w:rsidRDefault="000123FE" w:rsidP="00902598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8264C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Not Yet - 1</w:t>
                        </w:r>
                      </w:p>
                    </w:tc>
                  </w:tr>
                  <w:tr w:rsidR="000123FE" w:rsidRPr="008264C3" w:rsidTr="000123FE">
                    <w:tc>
                      <w:tcPr>
                        <w:tcW w:w="50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123FE" w:rsidRPr="008264C3" w:rsidRDefault="000123FE" w:rsidP="00902598">
                        <w:pPr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  <w:r w:rsidRPr="008264C3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 xml:space="preserve">Child does </w:t>
                        </w:r>
                        <w:r w:rsidRPr="008264C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not yet </w:t>
                        </w:r>
                        <w:r w:rsidRPr="008264C3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show functioning</w:t>
                        </w:r>
                        <w:r w:rsidRPr="000123FE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8264C3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expected of a child his or her age in any</w:t>
                        </w:r>
                        <w:r w:rsidRPr="000123FE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8264C3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 xml:space="preserve">situation. Child’s functioning does </w:t>
                        </w:r>
                        <w:r w:rsidRPr="008264C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not yet</w:t>
                        </w:r>
                        <w:r w:rsidRPr="000123FE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8264C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include immediate foundational skills</w:t>
                        </w:r>
                        <w:r w:rsidRPr="000123FE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8264C3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upon which to build age appropriate</w:t>
                        </w:r>
                        <w:r w:rsidRPr="000123FE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8264C3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functioning. Child’s functioning reflects</w:t>
                        </w:r>
                        <w:r w:rsidRPr="000123FE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8264C3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skills that developmentally come before</w:t>
                        </w:r>
                        <w:r w:rsidRPr="000123FE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8264C3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immediate foundational skills. Child’s</w:t>
                        </w:r>
                        <w:r w:rsidRPr="000123FE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8264C3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functioning might be described as like that</w:t>
                        </w:r>
                        <w:r w:rsidRPr="000123FE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8264C3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 xml:space="preserve">of a </w:t>
                        </w:r>
                        <w:r w:rsidRPr="008264C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much younger child*</w:t>
                        </w:r>
                        <w:r w:rsidRPr="008264C3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</w:tr>
                </w:tbl>
                <w:p w:rsidR="000123FE" w:rsidRDefault="000123FE"/>
              </w:txbxContent>
            </v:textbox>
          </v:shape>
        </w:pict>
      </w:r>
    </w:p>
    <w:sectPr w:rsidR="00757B11" w:rsidSect="00D04EED">
      <w:pgSz w:w="24480" w:h="15840" w:orient="landscape" w:code="17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FF47FF"/>
    <w:rsid w:val="00004F64"/>
    <w:rsid w:val="000060B7"/>
    <w:rsid w:val="00006910"/>
    <w:rsid w:val="00007F3C"/>
    <w:rsid w:val="00011345"/>
    <w:rsid w:val="000123FE"/>
    <w:rsid w:val="000138B1"/>
    <w:rsid w:val="00013A93"/>
    <w:rsid w:val="00014BE1"/>
    <w:rsid w:val="00015E6D"/>
    <w:rsid w:val="00016EEB"/>
    <w:rsid w:val="000172B7"/>
    <w:rsid w:val="00017A39"/>
    <w:rsid w:val="00021573"/>
    <w:rsid w:val="000264AA"/>
    <w:rsid w:val="00027648"/>
    <w:rsid w:val="000319BC"/>
    <w:rsid w:val="000329FC"/>
    <w:rsid w:val="00032D7A"/>
    <w:rsid w:val="000347D2"/>
    <w:rsid w:val="0003494E"/>
    <w:rsid w:val="00035D70"/>
    <w:rsid w:val="00037638"/>
    <w:rsid w:val="00050205"/>
    <w:rsid w:val="00052CD4"/>
    <w:rsid w:val="00056468"/>
    <w:rsid w:val="00066733"/>
    <w:rsid w:val="000774AE"/>
    <w:rsid w:val="000813ED"/>
    <w:rsid w:val="00081A5A"/>
    <w:rsid w:val="00081B4A"/>
    <w:rsid w:val="00083CA6"/>
    <w:rsid w:val="00085FB8"/>
    <w:rsid w:val="0008730F"/>
    <w:rsid w:val="00092483"/>
    <w:rsid w:val="00095423"/>
    <w:rsid w:val="000A6FE7"/>
    <w:rsid w:val="000A70BE"/>
    <w:rsid w:val="000B1333"/>
    <w:rsid w:val="000B6BA1"/>
    <w:rsid w:val="000C0DBF"/>
    <w:rsid w:val="000D1E41"/>
    <w:rsid w:val="000D41B7"/>
    <w:rsid w:val="000E4C7C"/>
    <w:rsid w:val="000E7BE7"/>
    <w:rsid w:val="000F53B3"/>
    <w:rsid w:val="000F5533"/>
    <w:rsid w:val="000F5646"/>
    <w:rsid w:val="001036C0"/>
    <w:rsid w:val="001052B7"/>
    <w:rsid w:val="00106515"/>
    <w:rsid w:val="001069E1"/>
    <w:rsid w:val="00111001"/>
    <w:rsid w:val="00111B7A"/>
    <w:rsid w:val="00112240"/>
    <w:rsid w:val="001159D9"/>
    <w:rsid w:val="00121564"/>
    <w:rsid w:val="00124390"/>
    <w:rsid w:val="001243F0"/>
    <w:rsid w:val="001324F9"/>
    <w:rsid w:val="001359E4"/>
    <w:rsid w:val="00135FFB"/>
    <w:rsid w:val="00136C27"/>
    <w:rsid w:val="001373EE"/>
    <w:rsid w:val="00141519"/>
    <w:rsid w:val="00142305"/>
    <w:rsid w:val="00146978"/>
    <w:rsid w:val="001475B6"/>
    <w:rsid w:val="00147BE8"/>
    <w:rsid w:val="0015551C"/>
    <w:rsid w:val="0015581F"/>
    <w:rsid w:val="00160DA8"/>
    <w:rsid w:val="00161056"/>
    <w:rsid w:val="00167FF8"/>
    <w:rsid w:val="001716A3"/>
    <w:rsid w:val="0017460C"/>
    <w:rsid w:val="00175765"/>
    <w:rsid w:val="001816B4"/>
    <w:rsid w:val="001840E0"/>
    <w:rsid w:val="00186D41"/>
    <w:rsid w:val="00190963"/>
    <w:rsid w:val="00193A60"/>
    <w:rsid w:val="00196263"/>
    <w:rsid w:val="00196329"/>
    <w:rsid w:val="001A0A67"/>
    <w:rsid w:val="001A7F3B"/>
    <w:rsid w:val="001B343D"/>
    <w:rsid w:val="001C2A5B"/>
    <w:rsid w:val="001C3561"/>
    <w:rsid w:val="001C53AE"/>
    <w:rsid w:val="001D06B3"/>
    <w:rsid w:val="001D14BD"/>
    <w:rsid w:val="001D424C"/>
    <w:rsid w:val="001E2DF0"/>
    <w:rsid w:val="001E750F"/>
    <w:rsid w:val="001E7762"/>
    <w:rsid w:val="001F104D"/>
    <w:rsid w:val="001F107A"/>
    <w:rsid w:val="001F2BBC"/>
    <w:rsid w:val="001F4860"/>
    <w:rsid w:val="001F55B2"/>
    <w:rsid w:val="00201A2A"/>
    <w:rsid w:val="00201BE4"/>
    <w:rsid w:val="0020292A"/>
    <w:rsid w:val="00204CB5"/>
    <w:rsid w:val="00207A2B"/>
    <w:rsid w:val="00212E6C"/>
    <w:rsid w:val="00216C56"/>
    <w:rsid w:val="00217CD8"/>
    <w:rsid w:val="00233C59"/>
    <w:rsid w:val="0023573C"/>
    <w:rsid w:val="00240218"/>
    <w:rsid w:val="002421AE"/>
    <w:rsid w:val="00246F73"/>
    <w:rsid w:val="0025130E"/>
    <w:rsid w:val="0025214D"/>
    <w:rsid w:val="00254ED7"/>
    <w:rsid w:val="00257B24"/>
    <w:rsid w:val="00257BCD"/>
    <w:rsid w:val="00260CDD"/>
    <w:rsid w:val="00261B8A"/>
    <w:rsid w:val="00266DEA"/>
    <w:rsid w:val="00267775"/>
    <w:rsid w:val="00272936"/>
    <w:rsid w:val="00275720"/>
    <w:rsid w:val="00276227"/>
    <w:rsid w:val="002768E7"/>
    <w:rsid w:val="00276ADE"/>
    <w:rsid w:val="00276B4D"/>
    <w:rsid w:val="00277700"/>
    <w:rsid w:val="00277EA5"/>
    <w:rsid w:val="00286F2B"/>
    <w:rsid w:val="00295175"/>
    <w:rsid w:val="002972BE"/>
    <w:rsid w:val="00297F74"/>
    <w:rsid w:val="002A3395"/>
    <w:rsid w:val="002A33A0"/>
    <w:rsid w:val="002A36BA"/>
    <w:rsid w:val="002A3FE0"/>
    <w:rsid w:val="002A66A9"/>
    <w:rsid w:val="002B065B"/>
    <w:rsid w:val="002B091E"/>
    <w:rsid w:val="002B22BD"/>
    <w:rsid w:val="002B4FCD"/>
    <w:rsid w:val="002B78E4"/>
    <w:rsid w:val="002C19BE"/>
    <w:rsid w:val="002C2462"/>
    <w:rsid w:val="002C752D"/>
    <w:rsid w:val="002C79E1"/>
    <w:rsid w:val="002C7D19"/>
    <w:rsid w:val="002D24FA"/>
    <w:rsid w:val="002D31D4"/>
    <w:rsid w:val="002D4B3B"/>
    <w:rsid w:val="002D5811"/>
    <w:rsid w:val="002D6FB4"/>
    <w:rsid w:val="002D6FB5"/>
    <w:rsid w:val="002D7F88"/>
    <w:rsid w:val="002E3CB9"/>
    <w:rsid w:val="002F293E"/>
    <w:rsid w:val="002F34ED"/>
    <w:rsid w:val="002F3FB3"/>
    <w:rsid w:val="002F44AA"/>
    <w:rsid w:val="002F67EB"/>
    <w:rsid w:val="002F7CE1"/>
    <w:rsid w:val="00300019"/>
    <w:rsid w:val="0030144F"/>
    <w:rsid w:val="00305B18"/>
    <w:rsid w:val="00311FA6"/>
    <w:rsid w:val="0031767D"/>
    <w:rsid w:val="00320C35"/>
    <w:rsid w:val="003219F3"/>
    <w:rsid w:val="00324952"/>
    <w:rsid w:val="003354EA"/>
    <w:rsid w:val="0033555D"/>
    <w:rsid w:val="003365F3"/>
    <w:rsid w:val="00344F1D"/>
    <w:rsid w:val="0034660B"/>
    <w:rsid w:val="00351CF2"/>
    <w:rsid w:val="00356F7E"/>
    <w:rsid w:val="00357264"/>
    <w:rsid w:val="00357585"/>
    <w:rsid w:val="00360657"/>
    <w:rsid w:val="00366ED6"/>
    <w:rsid w:val="00367FD8"/>
    <w:rsid w:val="003710EE"/>
    <w:rsid w:val="00371EC6"/>
    <w:rsid w:val="003724F8"/>
    <w:rsid w:val="00375F48"/>
    <w:rsid w:val="00381344"/>
    <w:rsid w:val="00383F94"/>
    <w:rsid w:val="0038664B"/>
    <w:rsid w:val="00386DB8"/>
    <w:rsid w:val="003873D3"/>
    <w:rsid w:val="00393599"/>
    <w:rsid w:val="003A5997"/>
    <w:rsid w:val="003B13DF"/>
    <w:rsid w:val="003B1864"/>
    <w:rsid w:val="003B2419"/>
    <w:rsid w:val="003B2B43"/>
    <w:rsid w:val="003B3C33"/>
    <w:rsid w:val="003C02C6"/>
    <w:rsid w:val="003C1A39"/>
    <w:rsid w:val="003C2ECC"/>
    <w:rsid w:val="003C35DF"/>
    <w:rsid w:val="003D0C8A"/>
    <w:rsid w:val="003D193F"/>
    <w:rsid w:val="003E0A0E"/>
    <w:rsid w:val="003E34B4"/>
    <w:rsid w:val="003E5869"/>
    <w:rsid w:val="003E61B4"/>
    <w:rsid w:val="003E6CAD"/>
    <w:rsid w:val="003F230B"/>
    <w:rsid w:val="003F347A"/>
    <w:rsid w:val="003F74A7"/>
    <w:rsid w:val="00400214"/>
    <w:rsid w:val="00400281"/>
    <w:rsid w:val="00412F36"/>
    <w:rsid w:val="00413D9D"/>
    <w:rsid w:val="0041479E"/>
    <w:rsid w:val="0041674F"/>
    <w:rsid w:val="004178F4"/>
    <w:rsid w:val="00421319"/>
    <w:rsid w:val="0042675D"/>
    <w:rsid w:val="0042741B"/>
    <w:rsid w:val="00434EFF"/>
    <w:rsid w:val="00436522"/>
    <w:rsid w:val="00437E55"/>
    <w:rsid w:val="00442DAB"/>
    <w:rsid w:val="00444EA5"/>
    <w:rsid w:val="00445624"/>
    <w:rsid w:val="00445E41"/>
    <w:rsid w:val="00446122"/>
    <w:rsid w:val="00447AE3"/>
    <w:rsid w:val="004534E6"/>
    <w:rsid w:val="00454169"/>
    <w:rsid w:val="00460216"/>
    <w:rsid w:val="00463C91"/>
    <w:rsid w:val="0046483F"/>
    <w:rsid w:val="00467053"/>
    <w:rsid w:val="004728FE"/>
    <w:rsid w:val="00474699"/>
    <w:rsid w:val="00476B64"/>
    <w:rsid w:val="00476BD9"/>
    <w:rsid w:val="00480793"/>
    <w:rsid w:val="004826B3"/>
    <w:rsid w:val="00486167"/>
    <w:rsid w:val="004862B6"/>
    <w:rsid w:val="00492035"/>
    <w:rsid w:val="00492913"/>
    <w:rsid w:val="0049533A"/>
    <w:rsid w:val="0049689C"/>
    <w:rsid w:val="004A1EF4"/>
    <w:rsid w:val="004A370F"/>
    <w:rsid w:val="004A4ED7"/>
    <w:rsid w:val="004A5DF8"/>
    <w:rsid w:val="004A6953"/>
    <w:rsid w:val="004B037A"/>
    <w:rsid w:val="004B4A6F"/>
    <w:rsid w:val="004B5991"/>
    <w:rsid w:val="004C1E88"/>
    <w:rsid w:val="004C2909"/>
    <w:rsid w:val="004C40EE"/>
    <w:rsid w:val="004C6764"/>
    <w:rsid w:val="004E1B39"/>
    <w:rsid w:val="004E6177"/>
    <w:rsid w:val="004E7399"/>
    <w:rsid w:val="004F01BE"/>
    <w:rsid w:val="004F15E8"/>
    <w:rsid w:val="004F5A96"/>
    <w:rsid w:val="004F658E"/>
    <w:rsid w:val="004F6794"/>
    <w:rsid w:val="0050117E"/>
    <w:rsid w:val="00505427"/>
    <w:rsid w:val="00511177"/>
    <w:rsid w:val="00520D76"/>
    <w:rsid w:val="00523F49"/>
    <w:rsid w:val="0052537B"/>
    <w:rsid w:val="00531BCD"/>
    <w:rsid w:val="00533266"/>
    <w:rsid w:val="005354BB"/>
    <w:rsid w:val="00536BA2"/>
    <w:rsid w:val="00541654"/>
    <w:rsid w:val="005419CC"/>
    <w:rsid w:val="00541ADE"/>
    <w:rsid w:val="005434BA"/>
    <w:rsid w:val="005436DB"/>
    <w:rsid w:val="00544870"/>
    <w:rsid w:val="00556BC8"/>
    <w:rsid w:val="0056371B"/>
    <w:rsid w:val="00563EE3"/>
    <w:rsid w:val="005673CE"/>
    <w:rsid w:val="00567566"/>
    <w:rsid w:val="00571CBF"/>
    <w:rsid w:val="00581762"/>
    <w:rsid w:val="0058604C"/>
    <w:rsid w:val="00586315"/>
    <w:rsid w:val="00587F50"/>
    <w:rsid w:val="0059142F"/>
    <w:rsid w:val="00594B31"/>
    <w:rsid w:val="00595DFA"/>
    <w:rsid w:val="00595F44"/>
    <w:rsid w:val="00596A50"/>
    <w:rsid w:val="005A2AD8"/>
    <w:rsid w:val="005A2DE2"/>
    <w:rsid w:val="005A2E7B"/>
    <w:rsid w:val="005A39B4"/>
    <w:rsid w:val="005A3CE8"/>
    <w:rsid w:val="005A469F"/>
    <w:rsid w:val="005A5C01"/>
    <w:rsid w:val="005A5CCF"/>
    <w:rsid w:val="005A6804"/>
    <w:rsid w:val="005A7E2C"/>
    <w:rsid w:val="005B0008"/>
    <w:rsid w:val="005B1701"/>
    <w:rsid w:val="005B344B"/>
    <w:rsid w:val="005B6DD1"/>
    <w:rsid w:val="005C286B"/>
    <w:rsid w:val="005C3F0D"/>
    <w:rsid w:val="005C555C"/>
    <w:rsid w:val="005D2587"/>
    <w:rsid w:val="005D2637"/>
    <w:rsid w:val="005D2AC0"/>
    <w:rsid w:val="005D503E"/>
    <w:rsid w:val="005D6EF9"/>
    <w:rsid w:val="005D7B25"/>
    <w:rsid w:val="005D7CD0"/>
    <w:rsid w:val="005E08DC"/>
    <w:rsid w:val="005E3229"/>
    <w:rsid w:val="005E638B"/>
    <w:rsid w:val="005F031F"/>
    <w:rsid w:val="005F1722"/>
    <w:rsid w:val="005F5306"/>
    <w:rsid w:val="005F5741"/>
    <w:rsid w:val="005F69EF"/>
    <w:rsid w:val="006024CA"/>
    <w:rsid w:val="0060276D"/>
    <w:rsid w:val="00602A94"/>
    <w:rsid w:val="0060418A"/>
    <w:rsid w:val="006174B7"/>
    <w:rsid w:val="00621D2B"/>
    <w:rsid w:val="00623A79"/>
    <w:rsid w:val="006250F6"/>
    <w:rsid w:val="00630951"/>
    <w:rsid w:val="00634A21"/>
    <w:rsid w:val="00634C26"/>
    <w:rsid w:val="00637D5B"/>
    <w:rsid w:val="00637EA5"/>
    <w:rsid w:val="0064202B"/>
    <w:rsid w:val="00643CA3"/>
    <w:rsid w:val="00646155"/>
    <w:rsid w:val="00651C8A"/>
    <w:rsid w:val="00653EFC"/>
    <w:rsid w:val="00654A22"/>
    <w:rsid w:val="00655233"/>
    <w:rsid w:val="006552A4"/>
    <w:rsid w:val="0065670D"/>
    <w:rsid w:val="00660FF4"/>
    <w:rsid w:val="00662942"/>
    <w:rsid w:val="00663B31"/>
    <w:rsid w:val="00664AD7"/>
    <w:rsid w:val="006667E9"/>
    <w:rsid w:val="0067046B"/>
    <w:rsid w:val="0067088E"/>
    <w:rsid w:val="00670913"/>
    <w:rsid w:val="006768BC"/>
    <w:rsid w:val="00680C64"/>
    <w:rsid w:val="00680F4B"/>
    <w:rsid w:val="0068128B"/>
    <w:rsid w:val="006817E8"/>
    <w:rsid w:val="006823D7"/>
    <w:rsid w:val="00683D23"/>
    <w:rsid w:val="00684016"/>
    <w:rsid w:val="006853CF"/>
    <w:rsid w:val="006876DB"/>
    <w:rsid w:val="006923E7"/>
    <w:rsid w:val="00695836"/>
    <w:rsid w:val="006A2FD0"/>
    <w:rsid w:val="006A3EE1"/>
    <w:rsid w:val="006A5D83"/>
    <w:rsid w:val="006A6930"/>
    <w:rsid w:val="006A6E0B"/>
    <w:rsid w:val="006A79F2"/>
    <w:rsid w:val="006B057D"/>
    <w:rsid w:val="006B0B08"/>
    <w:rsid w:val="006B15DA"/>
    <w:rsid w:val="006B35BE"/>
    <w:rsid w:val="006B48A8"/>
    <w:rsid w:val="006C1CD7"/>
    <w:rsid w:val="006C6B09"/>
    <w:rsid w:val="006D0521"/>
    <w:rsid w:val="006D3531"/>
    <w:rsid w:val="006D3F5C"/>
    <w:rsid w:val="006D52FE"/>
    <w:rsid w:val="006E2877"/>
    <w:rsid w:val="006E4A98"/>
    <w:rsid w:val="006E5422"/>
    <w:rsid w:val="006E5B54"/>
    <w:rsid w:val="006E5DA9"/>
    <w:rsid w:val="006E64D0"/>
    <w:rsid w:val="006E6958"/>
    <w:rsid w:val="006E7FCE"/>
    <w:rsid w:val="006F2201"/>
    <w:rsid w:val="006F2480"/>
    <w:rsid w:val="006F39EF"/>
    <w:rsid w:val="006F3B47"/>
    <w:rsid w:val="006F488A"/>
    <w:rsid w:val="006F4AA4"/>
    <w:rsid w:val="006F4CE9"/>
    <w:rsid w:val="006F6B3F"/>
    <w:rsid w:val="006F6ECF"/>
    <w:rsid w:val="006F7FE3"/>
    <w:rsid w:val="00700905"/>
    <w:rsid w:val="00703C9F"/>
    <w:rsid w:val="0071105D"/>
    <w:rsid w:val="0072013E"/>
    <w:rsid w:val="00720B7A"/>
    <w:rsid w:val="00723016"/>
    <w:rsid w:val="00724804"/>
    <w:rsid w:val="00730481"/>
    <w:rsid w:val="00740492"/>
    <w:rsid w:val="00745095"/>
    <w:rsid w:val="00746AA0"/>
    <w:rsid w:val="00747240"/>
    <w:rsid w:val="00747F60"/>
    <w:rsid w:val="0075138E"/>
    <w:rsid w:val="00753E47"/>
    <w:rsid w:val="007542AA"/>
    <w:rsid w:val="00757B11"/>
    <w:rsid w:val="00763C8D"/>
    <w:rsid w:val="00763E54"/>
    <w:rsid w:val="0076423F"/>
    <w:rsid w:val="007667F3"/>
    <w:rsid w:val="0078204E"/>
    <w:rsid w:val="00782C78"/>
    <w:rsid w:val="00785B0D"/>
    <w:rsid w:val="00787419"/>
    <w:rsid w:val="007965EA"/>
    <w:rsid w:val="0079794F"/>
    <w:rsid w:val="007B177F"/>
    <w:rsid w:val="007B716C"/>
    <w:rsid w:val="007C0D8B"/>
    <w:rsid w:val="007C10BB"/>
    <w:rsid w:val="007C3E7B"/>
    <w:rsid w:val="007C5179"/>
    <w:rsid w:val="007C5329"/>
    <w:rsid w:val="007C552B"/>
    <w:rsid w:val="007D2A36"/>
    <w:rsid w:val="007D3890"/>
    <w:rsid w:val="007D7836"/>
    <w:rsid w:val="007D78B5"/>
    <w:rsid w:val="007E03D5"/>
    <w:rsid w:val="007E786C"/>
    <w:rsid w:val="007F2DD5"/>
    <w:rsid w:val="007F59E1"/>
    <w:rsid w:val="007F762F"/>
    <w:rsid w:val="00801EDE"/>
    <w:rsid w:val="00802BD2"/>
    <w:rsid w:val="00803255"/>
    <w:rsid w:val="00812082"/>
    <w:rsid w:val="008147AD"/>
    <w:rsid w:val="00815E11"/>
    <w:rsid w:val="00822326"/>
    <w:rsid w:val="008226B7"/>
    <w:rsid w:val="00822C44"/>
    <w:rsid w:val="00823802"/>
    <w:rsid w:val="00824E0C"/>
    <w:rsid w:val="00826F71"/>
    <w:rsid w:val="00832695"/>
    <w:rsid w:val="008328F8"/>
    <w:rsid w:val="00832F09"/>
    <w:rsid w:val="0083529E"/>
    <w:rsid w:val="00835E25"/>
    <w:rsid w:val="0083650E"/>
    <w:rsid w:val="008368CC"/>
    <w:rsid w:val="00836FE7"/>
    <w:rsid w:val="008376CA"/>
    <w:rsid w:val="00845415"/>
    <w:rsid w:val="00846C37"/>
    <w:rsid w:val="00850426"/>
    <w:rsid w:val="00852804"/>
    <w:rsid w:val="00871531"/>
    <w:rsid w:val="00872041"/>
    <w:rsid w:val="00872123"/>
    <w:rsid w:val="00872AB4"/>
    <w:rsid w:val="0087774B"/>
    <w:rsid w:val="0088157E"/>
    <w:rsid w:val="00891E13"/>
    <w:rsid w:val="008921A8"/>
    <w:rsid w:val="0089359C"/>
    <w:rsid w:val="00894042"/>
    <w:rsid w:val="008959B9"/>
    <w:rsid w:val="008B2BF7"/>
    <w:rsid w:val="008B6514"/>
    <w:rsid w:val="008B7236"/>
    <w:rsid w:val="008C0138"/>
    <w:rsid w:val="008C15A6"/>
    <w:rsid w:val="008C1B93"/>
    <w:rsid w:val="008C2945"/>
    <w:rsid w:val="008C5590"/>
    <w:rsid w:val="008D0E4C"/>
    <w:rsid w:val="008D42AD"/>
    <w:rsid w:val="008D6A0C"/>
    <w:rsid w:val="008E00B4"/>
    <w:rsid w:val="008E0796"/>
    <w:rsid w:val="008E35CE"/>
    <w:rsid w:val="008E5EF2"/>
    <w:rsid w:val="008E6125"/>
    <w:rsid w:val="008E74D3"/>
    <w:rsid w:val="008F301D"/>
    <w:rsid w:val="008F4063"/>
    <w:rsid w:val="008F523A"/>
    <w:rsid w:val="008F6B30"/>
    <w:rsid w:val="008F7285"/>
    <w:rsid w:val="008F7B4E"/>
    <w:rsid w:val="00901FDD"/>
    <w:rsid w:val="00902B30"/>
    <w:rsid w:val="00903284"/>
    <w:rsid w:val="00906F1A"/>
    <w:rsid w:val="00907DEF"/>
    <w:rsid w:val="00910632"/>
    <w:rsid w:val="00911409"/>
    <w:rsid w:val="00913D43"/>
    <w:rsid w:val="009140C3"/>
    <w:rsid w:val="00915282"/>
    <w:rsid w:val="00917BEE"/>
    <w:rsid w:val="00920A1B"/>
    <w:rsid w:val="00920D51"/>
    <w:rsid w:val="009252E2"/>
    <w:rsid w:val="009337EE"/>
    <w:rsid w:val="00934C58"/>
    <w:rsid w:val="00934E86"/>
    <w:rsid w:val="00935941"/>
    <w:rsid w:val="00937BDC"/>
    <w:rsid w:val="00946337"/>
    <w:rsid w:val="00946EE6"/>
    <w:rsid w:val="00947FAF"/>
    <w:rsid w:val="00951539"/>
    <w:rsid w:val="00954E14"/>
    <w:rsid w:val="009556C5"/>
    <w:rsid w:val="00963185"/>
    <w:rsid w:val="00966467"/>
    <w:rsid w:val="00966D36"/>
    <w:rsid w:val="00971F99"/>
    <w:rsid w:val="00976ACD"/>
    <w:rsid w:val="009820B6"/>
    <w:rsid w:val="00982F18"/>
    <w:rsid w:val="00982FEF"/>
    <w:rsid w:val="00983669"/>
    <w:rsid w:val="00987828"/>
    <w:rsid w:val="00990012"/>
    <w:rsid w:val="00991BAC"/>
    <w:rsid w:val="009940B4"/>
    <w:rsid w:val="009952A4"/>
    <w:rsid w:val="00996A0A"/>
    <w:rsid w:val="009A1D09"/>
    <w:rsid w:val="009A3C87"/>
    <w:rsid w:val="009A5012"/>
    <w:rsid w:val="009B2DBF"/>
    <w:rsid w:val="009B5A30"/>
    <w:rsid w:val="009B5EA9"/>
    <w:rsid w:val="009B7EED"/>
    <w:rsid w:val="009C5360"/>
    <w:rsid w:val="009C5C23"/>
    <w:rsid w:val="009D1B71"/>
    <w:rsid w:val="009D29C3"/>
    <w:rsid w:val="009D3EC7"/>
    <w:rsid w:val="009D6473"/>
    <w:rsid w:val="009E1D78"/>
    <w:rsid w:val="009E2A3C"/>
    <w:rsid w:val="009E4C52"/>
    <w:rsid w:val="009E5E36"/>
    <w:rsid w:val="009F0DB3"/>
    <w:rsid w:val="009F14F2"/>
    <w:rsid w:val="009F4234"/>
    <w:rsid w:val="009F74BD"/>
    <w:rsid w:val="009F789D"/>
    <w:rsid w:val="00A0345D"/>
    <w:rsid w:val="00A10940"/>
    <w:rsid w:val="00A1477F"/>
    <w:rsid w:val="00A16429"/>
    <w:rsid w:val="00A206EC"/>
    <w:rsid w:val="00A23428"/>
    <w:rsid w:val="00A2453D"/>
    <w:rsid w:val="00A30A09"/>
    <w:rsid w:val="00A3192F"/>
    <w:rsid w:val="00A32A75"/>
    <w:rsid w:val="00A33DAA"/>
    <w:rsid w:val="00A355D0"/>
    <w:rsid w:val="00A37FC1"/>
    <w:rsid w:val="00A44D58"/>
    <w:rsid w:val="00A45AA3"/>
    <w:rsid w:val="00A54332"/>
    <w:rsid w:val="00A548C0"/>
    <w:rsid w:val="00A55CEB"/>
    <w:rsid w:val="00A606FB"/>
    <w:rsid w:val="00A662FC"/>
    <w:rsid w:val="00A67FC6"/>
    <w:rsid w:val="00A7035C"/>
    <w:rsid w:val="00A71187"/>
    <w:rsid w:val="00A721E3"/>
    <w:rsid w:val="00A830C5"/>
    <w:rsid w:val="00A90F62"/>
    <w:rsid w:val="00A91581"/>
    <w:rsid w:val="00A92B51"/>
    <w:rsid w:val="00A946B3"/>
    <w:rsid w:val="00A95425"/>
    <w:rsid w:val="00A95F88"/>
    <w:rsid w:val="00AA07EA"/>
    <w:rsid w:val="00AA2EDF"/>
    <w:rsid w:val="00AA3426"/>
    <w:rsid w:val="00AA492E"/>
    <w:rsid w:val="00AA606D"/>
    <w:rsid w:val="00AA6547"/>
    <w:rsid w:val="00AB0FE3"/>
    <w:rsid w:val="00AB2BBC"/>
    <w:rsid w:val="00AB398B"/>
    <w:rsid w:val="00AB3FDC"/>
    <w:rsid w:val="00AB64AF"/>
    <w:rsid w:val="00AB726F"/>
    <w:rsid w:val="00AC00AC"/>
    <w:rsid w:val="00AC1BA7"/>
    <w:rsid w:val="00AC5625"/>
    <w:rsid w:val="00AD0869"/>
    <w:rsid w:val="00AD3AF1"/>
    <w:rsid w:val="00AD3CA0"/>
    <w:rsid w:val="00AD530C"/>
    <w:rsid w:val="00AD56AC"/>
    <w:rsid w:val="00AE0BCB"/>
    <w:rsid w:val="00AE55F0"/>
    <w:rsid w:val="00AE57DF"/>
    <w:rsid w:val="00AE6339"/>
    <w:rsid w:val="00AF5135"/>
    <w:rsid w:val="00AF5D36"/>
    <w:rsid w:val="00AF5F24"/>
    <w:rsid w:val="00AF6D69"/>
    <w:rsid w:val="00B03173"/>
    <w:rsid w:val="00B037C5"/>
    <w:rsid w:val="00B03A44"/>
    <w:rsid w:val="00B04B07"/>
    <w:rsid w:val="00B10E57"/>
    <w:rsid w:val="00B125E7"/>
    <w:rsid w:val="00B1501C"/>
    <w:rsid w:val="00B16A8A"/>
    <w:rsid w:val="00B21763"/>
    <w:rsid w:val="00B217DD"/>
    <w:rsid w:val="00B2257B"/>
    <w:rsid w:val="00B24507"/>
    <w:rsid w:val="00B30C45"/>
    <w:rsid w:val="00B30D63"/>
    <w:rsid w:val="00B335AB"/>
    <w:rsid w:val="00B34F1B"/>
    <w:rsid w:val="00B379CC"/>
    <w:rsid w:val="00B41910"/>
    <w:rsid w:val="00B457CA"/>
    <w:rsid w:val="00B50AC5"/>
    <w:rsid w:val="00B5106A"/>
    <w:rsid w:val="00B5160B"/>
    <w:rsid w:val="00B521E3"/>
    <w:rsid w:val="00B5294F"/>
    <w:rsid w:val="00B542D7"/>
    <w:rsid w:val="00B65C1C"/>
    <w:rsid w:val="00B670BC"/>
    <w:rsid w:val="00B70151"/>
    <w:rsid w:val="00B728A7"/>
    <w:rsid w:val="00B75847"/>
    <w:rsid w:val="00B81E03"/>
    <w:rsid w:val="00B83501"/>
    <w:rsid w:val="00B8381B"/>
    <w:rsid w:val="00B86CB1"/>
    <w:rsid w:val="00B8751E"/>
    <w:rsid w:val="00B944CA"/>
    <w:rsid w:val="00BA20CA"/>
    <w:rsid w:val="00BA49B0"/>
    <w:rsid w:val="00BA708B"/>
    <w:rsid w:val="00BB278D"/>
    <w:rsid w:val="00BB4FA6"/>
    <w:rsid w:val="00BC01A0"/>
    <w:rsid w:val="00BC08CA"/>
    <w:rsid w:val="00BC34FF"/>
    <w:rsid w:val="00BD114A"/>
    <w:rsid w:val="00BD2090"/>
    <w:rsid w:val="00BD49AD"/>
    <w:rsid w:val="00BD51C8"/>
    <w:rsid w:val="00BD6EA4"/>
    <w:rsid w:val="00BE0366"/>
    <w:rsid w:val="00BE0491"/>
    <w:rsid w:val="00BE3538"/>
    <w:rsid w:val="00BE3BC7"/>
    <w:rsid w:val="00BF0079"/>
    <w:rsid w:val="00BF0B33"/>
    <w:rsid w:val="00BF142B"/>
    <w:rsid w:val="00BF2FE1"/>
    <w:rsid w:val="00BF4B56"/>
    <w:rsid w:val="00BF62CB"/>
    <w:rsid w:val="00BF6E29"/>
    <w:rsid w:val="00C02CFF"/>
    <w:rsid w:val="00C04468"/>
    <w:rsid w:val="00C0635E"/>
    <w:rsid w:val="00C072F6"/>
    <w:rsid w:val="00C13C42"/>
    <w:rsid w:val="00C15B82"/>
    <w:rsid w:val="00C174CA"/>
    <w:rsid w:val="00C2195D"/>
    <w:rsid w:val="00C2359C"/>
    <w:rsid w:val="00C2513C"/>
    <w:rsid w:val="00C26499"/>
    <w:rsid w:val="00C26A0C"/>
    <w:rsid w:val="00C30191"/>
    <w:rsid w:val="00C343CF"/>
    <w:rsid w:val="00C40565"/>
    <w:rsid w:val="00C42513"/>
    <w:rsid w:val="00C42FCF"/>
    <w:rsid w:val="00C4337D"/>
    <w:rsid w:val="00C4604E"/>
    <w:rsid w:val="00C50DA7"/>
    <w:rsid w:val="00C545A7"/>
    <w:rsid w:val="00C545EC"/>
    <w:rsid w:val="00C54CDD"/>
    <w:rsid w:val="00C557DF"/>
    <w:rsid w:val="00C63489"/>
    <w:rsid w:val="00C6477C"/>
    <w:rsid w:val="00C6528A"/>
    <w:rsid w:val="00C6591D"/>
    <w:rsid w:val="00C6785A"/>
    <w:rsid w:val="00C679A9"/>
    <w:rsid w:val="00C70875"/>
    <w:rsid w:val="00C708BC"/>
    <w:rsid w:val="00C70BF9"/>
    <w:rsid w:val="00C71E80"/>
    <w:rsid w:val="00C721FF"/>
    <w:rsid w:val="00C76321"/>
    <w:rsid w:val="00C7794A"/>
    <w:rsid w:val="00C830E2"/>
    <w:rsid w:val="00C85782"/>
    <w:rsid w:val="00C85EA1"/>
    <w:rsid w:val="00C87310"/>
    <w:rsid w:val="00C877DC"/>
    <w:rsid w:val="00CA144F"/>
    <w:rsid w:val="00CA26EE"/>
    <w:rsid w:val="00CA36F5"/>
    <w:rsid w:val="00CA391A"/>
    <w:rsid w:val="00CB2942"/>
    <w:rsid w:val="00CB6552"/>
    <w:rsid w:val="00CB7B18"/>
    <w:rsid w:val="00CC72A5"/>
    <w:rsid w:val="00CD65EB"/>
    <w:rsid w:val="00CD7D5A"/>
    <w:rsid w:val="00CE0A17"/>
    <w:rsid w:val="00CE1D78"/>
    <w:rsid w:val="00CE51FB"/>
    <w:rsid w:val="00CE579E"/>
    <w:rsid w:val="00CE688E"/>
    <w:rsid w:val="00CF01E7"/>
    <w:rsid w:val="00CF36A6"/>
    <w:rsid w:val="00CF5638"/>
    <w:rsid w:val="00CF5F6D"/>
    <w:rsid w:val="00D04EED"/>
    <w:rsid w:val="00D06250"/>
    <w:rsid w:val="00D06702"/>
    <w:rsid w:val="00D12781"/>
    <w:rsid w:val="00D17390"/>
    <w:rsid w:val="00D177AB"/>
    <w:rsid w:val="00D21F54"/>
    <w:rsid w:val="00D24176"/>
    <w:rsid w:val="00D2536F"/>
    <w:rsid w:val="00D25D74"/>
    <w:rsid w:val="00D3425B"/>
    <w:rsid w:val="00D3535C"/>
    <w:rsid w:val="00D35818"/>
    <w:rsid w:val="00D37455"/>
    <w:rsid w:val="00D451B4"/>
    <w:rsid w:val="00D45FA5"/>
    <w:rsid w:val="00D530BF"/>
    <w:rsid w:val="00D547CD"/>
    <w:rsid w:val="00D635E9"/>
    <w:rsid w:val="00D64ACF"/>
    <w:rsid w:val="00D64F79"/>
    <w:rsid w:val="00D707A4"/>
    <w:rsid w:val="00D712C0"/>
    <w:rsid w:val="00D743B1"/>
    <w:rsid w:val="00D7447F"/>
    <w:rsid w:val="00D7602E"/>
    <w:rsid w:val="00D81AB5"/>
    <w:rsid w:val="00D90B7C"/>
    <w:rsid w:val="00D92BFF"/>
    <w:rsid w:val="00D94A23"/>
    <w:rsid w:val="00D94BA1"/>
    <w:rsid w:val="00DA3089"/>
    <w:rsid w:val="00DA610D"/>
    <w:rsid w:val="00DA6DBE"/>
    <w:rsid w:val="00DA75D7"/>
    <w:rsid w:val="00DB0489"/>
    <w:rsid w:val="00DB2F2E"/>
    <w:rsid w:val="00DB4166"/>
    <w:rsid w:val="00DB458E"/>
    <w:rsid w:val="00DB4627"/>
    <w:rsid w:val="00DB5074"/>
    <w:rsid w:val="00DB75AE"/>
    <w:rsid w:val="00DC0449"/>
    <w:rsid w:val="00DC1C56"/>
    <w:rsid w:val="00DC40D4"/>
    <w:rsid w:val="00DC4BF9"/>
    <w:rsid w:val="00DC51ED"/>
    <w:rsid w:val="00DC5C0E"/>
    <w:rsid w:val="00DC7DB2"/>
    <w:rsid w:val="00DD388F"/>
    <w:rsid w:val="00DD38F4"/>
    <w:rsid w:val="00DD517C"/>
    <w:rsid w:val="00DD5DE5"/>
    <w:rsid w:val="00DE2140"/>
    <w:rsid w:val="00DE3F37"/>
    <w:rsid w:val="00DE4097"/>
    <w:rsid w:val="00DE5E47"/>
    <w:rsid w:val="00DE71F9"/>
    <w:rsid w:val="00DF0411"/>
    <w:rsid w:val="00DF45F5"/>
    <w:rsid w:val="00DF5B76"/>
    <w:rsid w:val="00E002FE"/>
    <w:rsid w:val="00E00D80"/>
    <w:rsid w:val="00E055CB"/>
    <w:rsid w:val="00E07507"/>
    <w:rsid w:val="00E11606"/>
    <w:rsid w:val="00E12E1B"/>
    <w:rsid w:val="00E22F6F"/>
    <w:rsid w:val="00E2438A"/>
    <w:rsid w:val="00E249A1"/>
    <w:rsid w:val="00E30A6A"/>
    <w:rsid w:val="00E30E19"/>
    <w:rsid w:val="00E319FE"/>
    <w:rsid w:val="00E34130"/>
    <w:rsid w:val="00E37B71"/>
    <w:rsid w:val="00E42764"/>
    <w:rsid w:val="00E4332A"/>
    <w:rsid w:val="00E44159"/>
    <w:rsid w:val="00E4559C"/>
    <w:rsid w:val="00E4695F"/>
    <w:rsid w:val="00E51006"/>
    <w:rsid w:val="00E5298A"/>
    <w:rsid w:val="00E555C8"/>
    <w:rsid w:val="00E563DE"/>
    <w:rsid w:val="00E6209F"/>
    <w:rsid w:val="00E737CF"/>
    <w:rsid w:val="00E74945"/>
    <w:rsid w:val="00E749F7"/>
    <w:rsid w:val="00E82E5B"/>
    <w:rsid w:val="00E840A7"/>
    <w:rsid w:val="00E857E4"/>
    <w:rsid w:val="00E92175"/>
    <w:rsid w:val="00E923F4"/>
    <w:rsid w:val="00E960B2"/>
    <w:rsid w:val="00E9666B"/>
    <w:rsid w:val="00E96D95"/>
    <w:rsid w:val="00EA3990"/>
    <w:rsid w:val="00EA6237"/>
    <w:rsid w:val="00EA62D2"/>
    <w:rsid w:val="00EB053C"/>
    <w:rsid w:val="00EB1427"/>
    <w:rsid w:val="00EB1BF2"/>
    <w:rsid w:val="00EB294E"/>
    <w:rsid w:val="00EC16BE"/>
    <w:rsid w:val="00EC70E9"/>
    <w:rsid w:val="00ED01FF"/>
    <w:rsid w:val="00ED14C4"/>
    <w:rsid w:val="00ED494F"/>
    <w:rsid w:val="00ED50F6"/>
    <w:rsid w:val="00EE036E"/>
    <w:rsid w:val="00EE1737"/>
    <w:rsid w:val="00EE2B61"/>
    <w:rsid w:val="00EE63D6"/>
    <w:rsid w:val="00EE6839"/>
    <w:rsid w:val="00EF33B9"/>
    <w:rsid w:val="00EF6F04"/>
    <w:rsid w:val="00F00227"/>
    <w:rsid w:val="00F03EFE"/>
    <w:rsid w:val="00F05588"/>
    <w:rsid w:val="00F05905"/>
    <w:rsid w:val="00F05E76"/>
    <w:rsid w:val="00F066CE"/>
    <w:rsid w:val="00F06FD9"/>
    <w:rsid w:val="00F146F1"/>
    <w:rsid w:val="00F160DD"/>
    <w:rsid w:val="00F20461"/>
    <w:rsid w:val="00F2049E"/>
    <w:rsid w:val="00F23541"/>
    <w:rsid w:val="00F2699D"/>
    <w:rsid w:val="00F30E20"/>
    <w:rsid w:val="00F3684C"/>
    <w:rsid w:val="00F36C46"/>
    <w:rsid w:val="00F4471D"/>
    <w:rsid w:val="00F44A3A"/>
    <w:rsid w:val="00F45528"/>
    <w:rsid w:val="00F460D0"/>
    <w:rsid w:val="00F50333"/>
    <w:rsid w:val="00F52291"/>
    <w:rsid w:val="00F52FAE"/>
    <w:rsid w:val="00F61E49"/>
    <w:rsid w:val="00F65338"/>
    <w:rsid w:val="00F7172A"/>
    <w:rsid w:val="00F71DF4"/>
    <w:rsid w:val="00F74D8D"/>
    <w:rsid w:val="00F74ED6"/>
    <w:rsid w:val="00F86146"/>
    <w:rsid w:val="00F91610"/>
    <w:rsid w:val="00F924F7"/>
    <w:rsid w:val="00F932D2"/>
    <w:rsid w:val="00F944B0"/>
    <w:rsid w:val="00F96354"/>
    <w:rsid w:val="00F968E3"/>
    <w:rsid w:val="00F978C7"/>
    <w:rsid w:val="00FA059D"/>
    <w:rsid w:val="00FA2AEE"/>
    <w:rsid w:val="00FA2E86"/>
    <w:rsid w:val="00FA78C8"/>
    <w:rsid w:val="00FA7C83"/>
    <w:rsid w:val="00FB2F49"/>
    <w:rsid w:val="00FB78DB"/>
    <w:rsid w:val="00FC0DEE"/>
    <w:rsid w:val="00FC3263"/>
    <w:rsid w:val="00FD2791"/>
    <w:rsid w:val="00FD42B3"/>
    <w:rsid w:val="00FD680D"/>
    <w:rsid w:val="00FD6ADF"/>
    <w:rsid w:val="00FE2BBE"/>
    <w:rsid w:val="00FE37C1"/>
    <w:rsid w:val="00FE3E22"/>
    <w:rsid w:val="00FE4500"/>
    <w:rsid w:val="00FE50CF"/>
    <w:rsid w:val="00FF47FF"/>
    <w:rsid w:val="00FF5915"/>
    <w:rsid w:val="00FF5E26"/>
    <w:rsid w:val="00FF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F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3FE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3FE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 A. Honaker</dc:creator>
  <cp:lastModifiedBy>Lauren</cp:lastModifiedBy>
  <cp:revision>3</cp:revision>
  <cp:lastPrinted>2011-02-07T17:33:00Z</cp:lastPrinted>
  <dcterms:created xsi:type="dcterms:W3CDTF">2013-06-05T17:07:00Z</dcterms:created>
  <dcterms:modified xsi:type="dcterms:W3CDTF">2013-06-05T17:15:00Z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-823593796</vt:i4>
  </property>
  <property fmtid="{D5CDD505-2E9C-101B-9397-08002B2CF9AE}" pid="3" name="_NewReviewCycle">
    <vt:lpwstr/>
  </property>
  <property fmtid="{D5CDD505-2E9C-101B-9397-08002B2CF9AE}" pid="4" name="_EmailSubject">
    <vt:lpwstr>definition sheet</vt:lpwstr>
  </property>
  <property fmtid="{D5CDD505-2E9C-101B-9397-08002B2CF9AE}" pid="5" name="_AuthorEmail">
    <vt:lpwstr>Sherri.Honaker@dpi.wi.gov</vt:lpwstr>
  </property>
  <property fmtid="{D5CDD505-2E9C-101B-9397-08002B2CF9AE}" pid="6" name="_AuthorEmailDisplayName">
    <vt:lpwstr>Honaker, Sherri   DPI</vt:lpwstr>
  </property>
  <property fmtid="{D5CDD505-2E9C-101B-9397-08002B2CF9AE}" pid="7" name="_ReviewingToolsShownOnce">
    <vt:lpwstr/>
  </property>
</Properties>
</file>